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00"/>
      </w:pPr>
      <w:r>
        <w:rPr>
          <w:b/>
          <w:bCs/>
          <w:color w:val="7C3AED"/>
          <w:sz w:val="40"/>
          <w:szCs w:val="40"/>
        </w:rPr>
        <w:t xml:space="preserve">Общи условия за партньори — FoodGo</w:t>
      </w:r>
    </w:p>
    <w:p>
      <w:pPr>
        <w:spacing w:after="120"/>
      </w:pPr>
      <w:r>
        <w:rPr>
          <w:i/>
          <w:iCs/>
          <w:color w:val="6B7280"/>
          <w:sz w:val="21"/>
          <w:szCs w:val="21"/>
        </w:rPr>
        <w:t xml:space="preserve">В сила от 01.11.2025 г.</w:t>
      </w:r>
    </w:p>
    <w:p>
      <w:pPr>
        <w:pStyle w:val="Heading1"/>
        <w:spacing w:after="160" w:before="320"/>
      </w:pPr>
      <w:r>
        <w:rPr>
          <w:b/>
          <w:bCs/>
          <w:sz w:val="30"/>
          <w:szCs w:val="30"/>
        </w:rPr>
        <w:t xml:space="preserve">Съдържание</w:t>
      </w:r>
    </w:p>
    <w:p>
      <w:pPr>
        <w:pStyle w:val="ListParagraph"/>
        <w:numPr>
          <w:ilvl w:val="0"/>
          <w:numId w:val="1"/>
        </w:numPr>
        <w:spacing w:after="60"/>
      </w:pPr>
      <w:r>
        <w:rPr>
          <w:sz w:val="21"/>
          <w:szCs w:val="21"/>
        </w:rPr>
        <w:t xml:space="preserve">Раздел А (Определения)</w:t>
      </w:r>
    </w:p>
    <w:p>
      <w:pPr>
        <w:pStyle w:val="ListParagraph"/>
        <w:numPr>
          <w:ilvl w:val="0"/>
          <w:numId w:val="1"/>
        </w:numPr>
        <w:spacing w:after="60"/>
      </w:pPr>
      <w:r>
        <w:rPr>
          <w:sz w:val="21"/>
          <w:szCs w:val="21"/>
        </w:rPr>
        <w:t xml:space="preserve">Раздел Б (Общи условия)</w:t>
      </w:r>
    </w:p>
    <w:p>
      <w:pPr>
        <w:pStyle w:val="ListParagraph"/>
        <w:numPr>
          <w:ilvl w:val="0"/>
          <w:numId w:val="1"/>
        </w:numPr>
        <w:spacing w:after="60"/>
      </w:pPr>
      <w:r>
        <w:rPr>
          <w:sz w:val="21"/>
          <w:szCs w:val="21"/>
        </w:rPr>
        <w:t xml:space="preserve">Раздел В (Допълнителни условия — Платежни услуги)</w:t>
      </w:r>
    </w:p>
    <w:p>
      <w:pPr>
        <w:pStyle w:val="ListParagraph"/>
        <w:numPr>
          <w:ilvl w:val="0"/>
          <w:numId w:val="1"/>
        </w:numPr>
        <w:spacing w:after="60"/>
      </w:pPr>
      <w:r>
        <w:rPr>
          <w:sz w:val="21"/>
          <w:szCs w:val="21"/>
        </w:rPr>
        <w:t xml:space="preserve">Раздел Г (Допълнителни условия — Услуги за доставка)</w:t>
      </w:r>
    </w:p>
    <w:p>
      <w:pPr>
        <w:pStyle w:val="ListParagraph"/>
        <w:numPr>
          <w:ilvl w:val="0"/>
          <w:numId w:val="1"/>
        </w:numPr>
        <w:spacing w:after="60"/>
      </w:pPr>
      <w:r>
        <w:rPr>
          <w:sz w:val="21"/>
          <w:szCs w:val="21"/>
        </w:rPr>
        <w:t xml:space="preserve">Раздел Д (Допълнителни условия — Печати за лоялност)</w:t>
      </w:r>
    </w:p>
    <w:p>
      <w:pPr>
        <w:spacing w:after="120"/>
      </w:pPr>
      <w:r>
        <w:rPr>
          <w:sz w:val="21"/>
          <w:szCs w:val="21"/>
        </w:rPr>
        <w:t xml:space="preserve">Настоящите Общи условия за партньори се прилагат между вас и FoodGo („ние“ или „нас“). Терминът „вие“ или „Партньор“ означава вас лично или юридическото лице, което представлявате при приемане на Договора.</w:t>
      </w:r>
    </w:p>
    <w:p>
      <w:pPr>
        <w:pStyle w:val="Heading1"/>
        <w:spacing w:after="160" w:before="320"/>
      </w:pPr>
      <w:r>
        <w:rPr>
          <w:b/>
          <w:bCs/>
          <w:sz w:val="30"/>
          <w:szCs w:val="30"/>
        </w:rPr>
        <w:t xml:space="preserve">РАЗДЕЛ А. ОПРЕДЕЛЕНИЯ</w:t>
      </w:r>
    </w:p>
    <w:p>
      <w:pPr>
        <w:spacing w:after="120"/>
      </w:pPr>
      <w:r>
        <w:rPr>
          <w:sz w:val="21"/>
          <w:szCs w:val="21"/>
        </w:rPr>
        <w:t xml:space="preserve">Думите с главна буква в Договора имат следното значение:</w:t>
      </w:r>
    </w:p>
    <w:p>
      <w:pPr>
        <w:spacing w:after="120"/>
        <w:ind w:left="360" w:hanging="360"/>
      </w:pPr>
      <w:r>
        <w:rPr>
          <w:b/>
          <w:bCs/>
          <w:sz w:val="21"/>
          <w:szCs w:val="21"/>
        </w:rPr>
        <w:t xml:space="preserve">Свързано лице — </w:t>
      </w:r>
      <w:r>
        <w:rPr>
          <w:sz w:val="21"/>
          <w:szCs w:val="21"/>
        </w:rPr>
        <w:t xml:space="preserve">по отношение на вас — всяко свързано лице, съпруг/съпруга, дъщерно дружество, холдингово дружество или сестринско дружество; а по отношение на FoodGo — лице, което е (пряко или непряко) дъщерно или холдингово дружество на FoodGo или се контролира от него.</w:t>
      </w:r>
    </w:p>
    <w:p>
      <w:pPr>
        <w:spacing w:after="120"/>
        <w:ind w:left="360" w:hanging="360"/>
      </w:pPr>
      <w:r>
        <w:rPr>
          <w:b/>
          <w:bCs/>
          <w:sz w:val="21"/>
          <w:szCs w:val="21"/>
        </w:rPr>
        <w:t xml:space="preserve">Договор — </w:t>
      </w:r>
      <w:r>
        <w:rPr>
          <w:sz w:val="21"/>
          <w:szCs w:val="21"/>
        </w:rPr>
        <w:t xml:space="preserve">регистрационната форма, настоящите Общи условия за партньори и, доколкото е приложимо, приложените Допълнителни условия.</w:t>
      </w:r>
    </w:p>
    <w:p>
      <w:pPr>
        <w:spacing w:after="120"/>
        <w:ind w:left="360" w:hanging="360"/>
      </w:pPr>
      <w:r>
        <w:rPr>
          <w:b/>
          <w:bCs/>
          <w:sz w:val="21"/>
          <w:szCs w:val="21"/>
        </w:rPr>
        <w:t xml:space="preserve">Работен ден — </w:t>
      </w:r>
      <w:r>
        <w:rPr>
          <w:sz w:val="21"/>
          <w:szCs w:val="21"/>
        </w:rPr>
        <w:t xml:space="preserve">делничен ден, който не е официален празник в Република България.</w:t>
      </w:r>
    </w:p>
    <w:p>
      <w:pPr>
        <w:spacing w:after="120"/>
        <w:ind w:left="360" w:hanging="360"/>
      </w:pPr>
      <w:r>
        <w:rPr>
          <w:b/>
          <w:bCs/>
          <w:sz w:val="21"/>
          <w:szCs w:val="21"/>
        </w:rPr>
        <w:t xml:space="preserve">Поръчка с карта — </w:t>
      </w:r>
      <w:r>
        <w:rPr>
          <w:sz w:val="21"/>
          <w:szCs w:val="21"/>
        </w:rPr>
        <w:t xml:space="preserve">Поръчка, която не е Поръчка в брой.</w:t>
      </w:r>
    </w:p>
    <w:p>
      <w:pPr>
        <w:spacing w:after="120"/>
        <w:ind w:left="360" w:hanging="360"/>
      </w:pPr>
      <w:r>
        <w:rPr>
          <w:b/>
          <w:bCs/>
          <w:sz w:val="21"/>
          <w:szCs w:val="21"/>
        </w:rPr>
        <w:t xml:space="preserve">Поръчка в брой — </w:t>
      </w:r>
      <w:r>
        <w:rPr>
          <w:sz w:val="21"/>
          <w:szCs w:val="21"/>
        </w:rPr>
        <w:t xml:space="preserve">Поръчка, платена в брой.</w:t>
      </w:r>
    </w:p>
    <w:p>
      <w:pPr>
        <w:spacing w:after="120"/>
        <w:ind w:left="360" w:hanging="360"/>
      </w:pPr>
      <w:r>
        <w:rPr>
          <w:b/>
          <w:bCs/>
          <w:sz w:val="21"/>
          <w:szCs w:val="21"/>
        </w:rPr>
        <w:t xml:space="preserve">Chargeback (сторниране) — </w:t>
      </w:r>
      <w:r>
        <w:rPr>
          <w:sz w:val="21"/>
          <w:szCs w:val="21"/>
        </w:rPr>
        <w:t xml:space="preserve">такса, начислена ни от финансова институция (напр. банка издател на картата на Клиент) във връзка със сторниране на картова транзакция.</w:t>
      </w:r>
    </w:p>
    <w:p>
      <w:pPr>
        <w:spacing w:after="120"/>
        <w:ind w:left="360" w:hanging="360"/>
      </w:pPr>
      <w:r>
        <w:rPr>
          <w:b/>
          <w:bCs/>
          <w:sz w:val="21"/>
          <w:szCs w:val="21"/>
        </w:rPr>
        <w:t xml:space="preserve">Метод на свързване — </w:t>
      </w:r>
      <w:r>
        <w:rPr>
          <w:sz w:val="21"/>
          <w:szCs w:val="21"/>
        </w:rPr>
        <w:t xml:space="preserve">устройства за поръчки и/или софтуер, програма или приложение, което ви позволява да получавате Поръчки.</w:t>
      </w:r>
    </w:p>
    <w:p>
      <w:pPr>
        <w:spacing w:after="120"/>
        <w:ind w:left="360" w:hanging="360"/>
      </w:pPr>
      <w:r>
        <w:rPr>
          <w:b/>
          <w:bCs/>
          <w:sz w:val="21"/>
          <w:szCs w:val="21"/>
        </w:rPr>
        <w:t xml:space="preserve">Куриер — </w:t>
      </w:r>
      <w:r>
        <w:rPr>
          <w:sz w:val="21"/>
          <w:szCs w:val="21"/>
        </w:rPr>
        <w:t xml:space="preserve">лице, работещо пряко или непряко за FoodGo, което извършва доставката на Поръчка в рамките на Услугите за доставка.</w:t>
      </w:r>
    </w:p>
    <w:p>
      <w:pPr>
        <w:spacing w:after="120"/>
        <w:ind w:left="360" w:hanging="360"/>
      </w:pPr>
      <w:r>
        <w:rPr>
          <w:b/>
          <w:bCs/>
          <w:sz w:val="21"/>
          <w:szCs w:val="21"/>
        </w:rPr>
        <w:t xml:space="preserve">Клиент — </w:t>
      </w:r>
      <w:r>
        <w:rPr>
          <w:sz w:val="21"/>
          <w:szCs w:val="21"/>
        </w:rPr>
        <w:t xml:space="preserve">физическо или юридическо лице, използвало Платформата за подаване на Поръчка.</w:t>
      </w:r>
    </w:p>
    <w:p>
      <w:pPr>
        <w:spacing w:after="120"/>
        <w:ind w:left="360" w:hanging="360"/>
      </w:pPr>
      <w:r>
        <w:rPr>
          <w:b/>
          <w:bCs/>
          <w:sz w:val="21"/>
          <w:szCs w:val="21"/>
        </w:rPr>
        <w:t xml:space="preserve">Законодателство за защита на данните — </w:t>
      </w:r>
      <w:r>
        <w:rPr>
          <w:sz w:val="21"/>
          <w:szCs w:val="21"/>
        </w:rPr>
        <w:t xml:space="preserve">всички закони и подзаконови актове за защита на физическите лица при обработване на лични данни, включително Регламент (ЕС) 2016/679 (ОРЗД / GDPR) и Закона за защита на личните данни.</w:t>
      </w:r>
    </w:p>
    <w:p>
      <w:pPr>
        <w:spacing w:after="120"/>
        <w:ind w:left="360" w:hanging="360"/>
      </w:pPr>
      <w:r>
        <w:rPr>
          <w:b/>
          <w:bCs/>
          <w:sz w:val="21"/>
          <w:szCs w:val="21"/>
        </w:rPr>
        <w:t xml:space="preserve">Разстояние на доставка — </w:t>
      </w:r>
      <w:r>
        <w:rPr>
          <w:sz w:val="21"/>
          <w:szCs w:val="21"/>
        </w:rPr>
        <w:t xml:space="preserve">разстоянието между Обекта и Клиента, определяно единствено от нас въз основа на радиус и полигон.</w:t>
      </w:r>
    </w:p>
    <w:p>
      <w:pPr>
        <w:spacing w:after="120"/>
        <w:ind w:left="360" w:hanging="360"/>
      </w:pPr>
      <w:r>
        <w:rPr>
          <w:b/>
          <w:bCs/>
          <w:sz w:val="21"/>
          <w:szCs w:val="21"/>
        </w:rPr>
        <w:t xml:space="preserve">Услуги за доставка — </w:t>
      </w:r>
      <w:r>
        <w:rPr>
          <w:sz w:val="21"/>
          <w:szCs w:val="21"/>
        </w:rPr>
        <w:t xml:space="preserve">услуга, предоставяна от нас, за вземане и доставяне на Поръчките от вашия Обект до Клиент.</w:t>
      </w:r>
    </w:p>
    <w:p>
      <w:pPr>
        <w:spacing w:after="120"/>
        <w:ind w:left="360" w:hanging="360"/>
      </w:pPr>
      <w:r>
        <w:rPr>
          <w:b/>
          <w:bCs/>
          <w:sz w:val="21"/>
          <w:szCs w:val="21"/>
        </w:rPr>
        <w:t xml:space="preserve">Време за доставка — </w:t>
      </w:r>
      <w:r>
        <w:rPr>
          <w:sz w:val="21"/>
          <w:szCs w:val="21"/>
        </w:rPr>
        <w:t xml:space="preserve">когато вие организирате доставката сами — времето за доставка, посочено от вас (максимум 60 минути), в рамките на което Поръчката ще бъде доставена.</w:t>
      </w:r>
    </w:p>
    <w:p>
      <w:pPr>
        <w:spacing w:after="120"/>
        <w:ind w:left="360" w:hanging="360"/>
      </w:pPr>
      <w:r>
        <w:rPr>
          <w:b/>
          <w:bCs/>
          <w:sz w:val="21"/>
          <w:szCs w:val="21"/>
        </w:rPr>
        <w:t xml:space="preserve">Такси — </w:t>
      </w:r>
      <w:r>
        <w:rPr>
          <w:sz w:val="21"/>
          <w:szCs w:val="21"/>
        </w:rPr>
        <w:t xml:space="preserve">комисионната такса, административните разходи и, ако е приложимо, други такси, посочени в регистрационната форма или потвърдени от нас писмено.</w:t>
      </w:r>
    </w:p>
    <w:p>
      <w:pPr>
        <w:spacing w:after="120"/>
        <w:ind w:left="360" w:hanging="360"/>
      </w:pPr>
      <w:r>
        <w:rPr>
          <w:b/>
          <w:bCs/>
          <w:sz w:val="21"/>
          <w:szCs w:val="21"/>
        </w:rPr>
        <w:t xml:space="preserve">Форсмажорно събитие — </w:t>
      </w:r>
      <w:r>
        <w:rPr>
          <w:sz w:val="21"/>
          <w:szCs w:val="21"/>
        </w:rPr>
        <w:t xml:space="preserve">събитие извън разумния контрол на страна, включително стачки, авария на комунална услуга, война, бунт, тероризъм, епидемия или пандемия, кибератаки, пожар, природни явления или проблеми с капацитета.</w:t>
      </w:r>
    </w:p>
    <w:p>
      <w:pPr>
        <w:spacing w:after="120"/>
        <w:ind w:left="360" w:hanging="360"/>
      </w:pPr>
      <w:r>
        <w:rPr>
          <w:b/>
          <w:bCs/>
          <w:sz w:val="21"/>
          <w:szCs w:val="21"/>
        </w:rPr>
        <w:t xml:space="preserve">Стоки — </w:t>
      </w:r>
      <w:r>
        <w:rPr>
          <w:sz w:val="21"/>
          <w:szCs w:val="21"/>
        </w:rPr>
        <w:t xml:space="preserve">ястията, храните и напитките и всички други артикули от менюто и продукти, предлагани от вас.</w:t>
      </w:r>
    </w:p>
    <w:p>
      <w:pPr>
        <w:spacing w:after="120"/>
        <w:ind w:left="360" w:hanging="360"/>
      </w:pPr>
      <w:r>
        <w:rPr>
          <w:b/>
          <w:bCs/>
          <w:sz w:val="21"/>
          <w:szCs w:val="21"/>
        </w:rPr>
        <w:t xml:space="preserve">Брутна стойност на поръчката — </w:t>
      </w:r>
      <w:r>
        <w:rPr>
          <w:sz w:val="21"/>
          <w:szCs w:val="21"/>
        </w:rPr>
        <w:t xml:space="preserve">общата сума, начислена от вас на Клиента за Поръчка, включително стойността на Стоките, всички такси за доставка, начислени от вас, и приложимите данъци. Когато ние предоставяме Услуги за доставка, таксите за доставка се начисляват от нас на Клиента и не са част от Брутната стойност на поръчката.</w:t>
      </w:r>
    </w:p>
    <w:p>
      <w:pPr>
        <w:spacing w:after="120"/>
        <w:ind w:left="360" w:hanging="360"/>
      </w:pPr>
      <w:r>
        <w:rPr>
          <w:b/>
          <w:bCs/>
          <w:sz w:val="21"/>
          <w:szCs w:val="21"/>
        </w:rPr>
        <w:t xml:space="preserve">ПИС (IPRs) — </w:t>
      </w:r>
      <w:r>
        <w:rPr>
          <w:sz w:val="21"/>
          <w:szCs w:val="21"/>
        </w:rPr>
        <w:t xml:space="preserve">всички права върху интелектуална собственост от всякакво естество навсякъде по света, регистрирани или не, включително всяка Търговска марка.</w:t>
      </w:r>
    </w:p>
    <w:p>
      <w:pPr>
        <w:spacing w:after="120"/>
        <w:ind w:left="360" w:hanging="360"/>
      </w:pPr>
      <w:r>
        <w:rPr>
          <w:b/>
          <w:bCs/>
          <w:sz w:val="21"/>
          <w:szCs w:val="21"/>
        </w:rPr>
        <w:t xml:space="preserve">KYC информация — </w:t>
      </w:r>
      <w:r>
        <w:rPr>
          <w:sz w:val="21"/>
          <w:szCs w:val="21"/>
        </w:rPr>
        <w:t xml:space="preserve">всички документи и данни, изисквани от FoodGo за спазване на задълженията „опознай своя клиент“ съгласно Закона за мерките срещу изпирането на пари и приложимите санкционни списъци.</w:t>
      </w:r>
    </w:p>
    <w:p>
      <w:pPr>
        <w:spacing w:after="120"/>
        <w:ind w:left="360" w:hanging="360"/>
      </w:pPr>
      <w:r>
        <w:rPr>
          <w:b/>
          <w:bCs/>
          <w:sz w:val="21"/>
          <w:szCs w:val="21"/>
        </w:rPr>
        <w:t xml:space="preserve">Платформа — </w:t>
      </w:r>
      <w:r>
        <w:rPr>
          <w:sz w:val="21"/>
          <w:szCs w:val="21"/>
        </w:rPr>
        <w:t xml:space="preserve">уебсайтовете, мобилните приложения и платформите за поръчки на FoodGo, включително всеки уебсайт, който можем да създадем за вас.</w:t>
      </w:r>
    </w:p>
    <w:p>
      <w:pPr>
        <w:spacing w:after="120"/>
        <w:ind w:left="360" w:hanging="360"/>
      </w:pPr>
      <w:r>
        <w:rPr>
          <w:b/>
          <w:bCs/>
          <w:sz w:val="21"/>
          <w:szCs w:val="21"/>
        </w:rPr>
        <w:t xml:space="preserve">Поръчка — </w:t>
      </w:r>
      <w:r>
        <w:rPr>
          <w:sz w:val="21"/>
          <w:szCs w:val="21"/>
        </w:rPr>
        <w:t xml:space="preserve">поръчка за Стоки, подадена от Клиент чрез Платформата.</w:t>
      </w:r>
    </w:p>
    <w:p>
      <w:pPr>
        <w:spacing w:after="120"/>
        <w:ind w:left="360" w:hanging="360"/>
      </w:pPr>
      <w:r>
        <w:rPr>
          <w:b/>
          <w:bCs/>
          <w:sz w:val="21"/>
          <w:szCs w:val="21"/>
        </w:rPr>
        <w:t xml:space="preserve">Информация за партньора — </w:t>
      </w:r>
      <w:r>
        <w:rPr>
          <w:sz w:val="21"/>
          <w:szCs w:val="21"/>
        </w:rPr>
        <w:t xml:space="preserve">цялата информация за вас и вашия Обект, включително KYC информация, информация за Стоките, менюто, адреса, работното време, радиуса на доставка и данните за контакт.</w:t>
      </w:r>
    </w:p>
    <w:p>
      <w:pPr>
        <w:spacing w:after="120"/>
        <w:ind w:left="360" w:hanging="360"/>
      </w:pPr>
      <w:r>
        <w:rPr>
          <w:b/>
          <w:bCs/>
          <w:sz w:val="21"/>
          <w:szCs w:val="21"/>
        </w:rPr>
        <w:t xml:space="preserve">Партньорски портал — </w:t>
      </w:r>
      <w:r>
        <w:rPr>
          <w:sz w:val="21"/>
          <w:szCs w:val="21"/>
        </w:rPr>
        <w:t xml:space="preserve">онлайн порталът и придружаващите инструменти и услуги, предоставяни от нас за управление на бизнеса ви на Платформата.</w:t>
      </w:r>
    </w:p>
    <w:p>
      <w:pPr>
        <w:spacing w:after="120"/>
        <w:ind w:left="360" w:hanging="360"/>
      </w:pPr>
      <w:r>
        <w:rPr>
          <w:b/>
          <w:bCs/>
          <w:sz w:val="21"/>
          <w:szCs w:val="21"/>
        </w:rPr>
        <w:t xml:space="preserve">Платежен партньор — </w:t>
      </w:r>
      <w:r>
        <w:rPr>
          <w:sz w:val="21"/>
          <w:szCs w:val="21"/>
        </w:rPr>
        <w:t xml:space="preserve">Партньор, който получава Платежните услуги.</w:t>
      </w:r>
    </w:p>
    <w:p>
      <w:pPr>
        <w:spacing w:after="120"/>
        <w:ind w:left="360" w:hanging="360"/>
      </w:pPr>
      <w:r>
        <w:rPr>
          <w:b/>
          <w:bCs/>
          <w:sz w:val="21"/>
          <w:szCs w:val="21"/>
        </w:rPr>
        <w:t xml:space="preserve">Платежни услуги — </w:t>
      </w:r>
      <w:r>
        <w:rPr>
          <w:sz w:val="21"/>
          <w:szCs w:val="21"/>
        </w:rPr>
        <w:t xml:space="preserve">събиране и обезпечаване от ваше име на плащания от Клиенти и превеждането им към вас или FoodGo, както и управлението и обработката на възстановявания от ваше име.</w:t>
      </w:r>
    </w:p>
    <w:p>
      <w:pPr>
        <w:spacing w:after="120"/>
        <w:ind w:left="360" w:hanging="360"/>
      </w:pPr>
      <w:r>
        <w:rPr>
          <w:b/>
          <w:bCs/>
          <w:sz w:val="21"/>
          <w:szCs w:val="21"/>
        </w:rPr>
        <w:t xml:space="preserve">Лични данни — </w:t>
      </w:r>
      <w:r>
        <w:rPr>
          <w:sz w:val="21"/>
          <w:szCs w:val="21"/>
        </w:rPr>
        <w:t xml:space="preserve">както е определено в Законодателството за защита на данните.</w:t>
      </w:r>
    </w:p>
    <w:p>
      <w:pPr>
        <w:spacing w:after="120"/>
        <w:ind w:left="360" w:hanging="360"/>
      </w:pPr>
      <w:r>
        <w:rPr>
          <w:b/>
          <w:bCs/>
          <w:sz w:val="21"/>
          <w:szCs w:val="21"/>
        </w:rPr>
        <w:t xml:space="preserve">Обект — </w:t>
      </w:r>
      <w:r>
        <w:rPr>
          <w:sz w:val="21"/>
          <w:szCs w:val="21"/>
        </w:rPr>
        <w:t xml:space="preserve">физическият обект, на който Партньорът извършва дейност и където се приготвят Стоките по Поръчки, подадени от Клиенти чрез Платформата.</w:t>
      </w:r>
    </w:p>
    <w:p>
      <w:pPr>
        <w:spacing w:after="120"/>
        <w:ind w:left="360" w:hanging="360"/>
      </w:pPr>
      <w:r>
        <w:rPr>
          <w:b/>
          <w:bCs/>
          <w:sz w:val="21"/>
          <w:szCs w:val="21"/>
        </w:rPr>
        <w:t xml:space="preserve">Време за приготвяне / Време за вземане — </w:t>
      </w:r>
      <w:r>
        <w:rPr>
          <w:sz w:val="21"/>
          <w:szCs w:val="21"/>
        </w:rPr>
        <w:t xml:space="preserve">когато сме се съгласили да осигурим Услугите за доставка — времето за приготвяне, посочено от вас (максимум 45 минути), до което Поръчката ще бъде готова за вземане от Куриер.</w:t>
      </w:r>
    </w:p>
    <w:p>
      <w:pPr>
        <w:spacing w:after="120"/>
        <w:ind w:left="360" w:hanging="360"/>
      </w:pPr>
      <w:r>
        <w:rPr>
          <w:b/>
          <w:bCs/>
          <w:sz w:val="21"/>
          <w:szCs w:val="21"/>
        </w:rPr>
        <w:t xml:space="preserve">Обработване — </w:t>
      </w:r>
      <w:r>
        <w:rPr>
          <w:sz w:val="21"/>
          <w:szCs w:val="21"/>
        </w:rPr>
        <w:t xml:space="preserve">както е определено в Законодателството за защита на данните.</w:t>
      </w:r>
    </w:p>
    <w:p>
      <w:pPr>
        <w:spacing w:after="120"/>
        <w:ind w:left="360" w:hanging="360"/>
      </w:pPr>
      <w:r>
        <w:rPr>
          <w:b/>
          <w:bCs/>
          <w:sz w:val="21"/>
          <w:szCs w:val="21"/>
        </w:rPr>
        <w:t xml:space="preserve">Гаранция за еднаква цена — </w:t>
      </w:r>
      <w:r>
        <w:rPr>
          <w:sz w:val="21"/>
          <w:szCs w:val="21"/>
        </w:rPr>
        <w:t xml:space="preserve">вашата гаранция, че цените, отстъпките и специалните оферти за Стоки и услуги, предлагани от вас на Платформата, са същите като при поръчка чрез вашите собствени онлайн канали.</w:t>
      </w:r>
    </w:p>
    <w:p>
      <w:pPr>
        <w:spacing w:after="120"/>
        <w:ind w:left="360" w:hanging="360"/>
      </w:pPr>
      <w:r>
        <w:rPr>
          <w:b/>
          <w:bCs/>
          <w:sz w:val="21"/>
          <w:szCs w:val="21"/>
        </w:rPr>
        <w:t xml:space="preserve">Санкционни списъци — </w:t>
      </w:r>
      <w:r>
        <w:rPr>
          <w:sz w:val="21"/>
          <w:szCs w:val="21"/>
        </w:rPr>
        <w:t xml:space="preserve">прегледи на санкционирани държави, лица и образувания, издавани от организации като ООН, Европейския съюз или национални органи.</w:t>
      </w:r>
    </w:p>
    <w:p>
      <w:pPr>
        <w:spacing w:after="120"/>
        <w:ind w:left="360" w:hanging="360"/>
      </w:pPr>
      <w:r>
        <w:rPr>
          <w:b/>
          <w:bCs/>
          <w:sz w:val="21"/>
          <w:szCs w:val="21"/>
        </w:rPr>
        <w:t xml:space="preserve">Мярка за сигурност — </w:t>
      </w:r>
      <w:r>
        <w:rPr>
          <w:sz w:val="21"/>
          <w:szCs w:val="21"/>
        </w:rPr>
        <w:t xml:space="preserve">физическите, техническите и организационните мерки за сигурност, необходими за адекватна защита на Личните данни.</w:t>
      </w:r>
    </w:p>
    <w:p>
      <w:pPr>
        <w:spacing w:after="120"/>
        <w:ind w:left="360" w:hanging="360"/>
      </w:pPr>
      <w:r>
        <w:rPr>
          <w:b/>
          <w:bCs/>
          <w:sz w:val="21"/>
          <w:szCs w:val="21"/>
        </w:rPr>
        <w:t xml:space="preserve">Чувствителни лични данни — </w:t>
      </w:r>
      <w:r>
        <w:rPr>
          <w:sz w:val="21"/>
          <w:szCs w:val="21"/>
        </w:rPr>
        <w:t xml:space="preserve">лични данни, разкриващи расов или етнически произход, политически възгледи, религиозни убеждения, здравословно състояние и др., както е определено в Законодателството за защита на данните.</w:t>
      </w:r>
    </w:p>
    <w:p>
      <w:pPr>
        <w:spacing w:after="120"/>
        <w:ind w:left="360" w:hanging="360"/>
      </w:pPr>
      <w:r>
        <w:rPr>
          <w:b/>
          <w:bCs/>
          <w:sz w:val="21"/>
          <w:szCs w:val="21"/>
        </w:rPr>
        <w:t xml:space="preserve">Услуги — </w:t>
      </w:r>
      <w:r>
        <w:rPr>
          <w:sz w:val="21"/>
          <w:szCs w:val="21"/>
        </w:rPr>
        <w:t xml:space="preserve">има значението, дадено в Клауза 2.1 от Раздел Б.</w:t>
      </w:r>
    </w:p>
    <w:p>
      <w:pPr>
        <w:spacing w:after="120"/>
        <w:ind w:left="360" w:hanging="360"/>
      </w:pPr>
      <w:r>
        <w:rPr>
          <w:b/>
          <w:bCs/>
          <w:sz w:val="21"/>
          <w:szCs w:val="21"/>
        </w:rPr>
        <w:t xml:space="preserve">Програма за печати — </w:t>
      </w:r>
      <w:r>
        <w:rPr>
          <w:sz w:val="21"/>
          <w:szCs w:val="21"/>
        </w:rPr>
        <w:t xml:space="preserve">наградната програма, която позволява на Клиентите да събират печати от участващ Партньор и да получат Ваучер за печати, когато картата е попълнена.</w:t>
      </w:r>
    </w:p>
    <w:p>
      <w:pPr>
        <w:spacing w:after="120"/>
        <w:ind w:left="360" w:hanging="360"/>
      </w:pPr>
      <w:r>
        <w:rPr>
          <w:b/>
          <w:bCs/>
          <w:sz w:val="21"/>
          <w:szCs w:val="21"/>
        </w:rPr>
        <w:t xml:space="preserve">Ваучер за печати — </w:t>
      </w:r>
      <w:r>
        <w:rPr>
          <w:sz w:val="21"/>
          <w:szCs w:val="21"/>
        </w:rPr>
        <w:t xml:space="preserve">ваучер, специфичен за Обекта, предоставян на Клиента за попълнена карта с печати, на стойност 10% от Брутната стойност на поръчката (без разходите за доставка) на петте Поръчки, за които са събрани печатите.</w:t>
      </w:r>
    </w:p>
    <w:p>
      <w:pPr>
        <w:spacing w:after="120"/>
        <w:ind w:left="360" w:hanging="360"/>
      </w:pPr>
      <w:r>
        <w:rPr>
          <w:b/>
          <w:bCs/>
          <w:sz w:val="21"/>
          <w:szCs w:val="21"/>
        </w:rPr>
        <w:t xml:space="preserve">Извлечение — </w:t>
      </w:r>
      <w:r>
        <w:rPr>
          <w:sz w:val="21"/>
          <w:szCs w:val="21"/>
        </w:rPr>
        <w:t xml:space="preserve">извлечение за дължимите суми между вас и нас, отнасящо се за предходната седмица (понеделник до неделя включително).</w:t>
      </w:r>
    </w:p>
    <w:p>
      <w:pPr>
        <w:spacing w:after="120"/>
        <w:ind w:left="360" w:hanging="360"/>
      </w:pPr>
      <w:r>
        <w:rPr>
          <w:b/>
          <w:bCs/>
          <w:sz w:val="21"/>
          <w:szCs w:val="21"/>
        </w:rPr>
        <w:t xml:space="preserve">FoodGo — </w:t>
      </w:r>
      <w:r>
        <w:rPr>
          <w:sz w:val="21"/>
          <w:szCs w:val="21"/>
        </w:rPr>
        <w:t xml:space="preserve">дружеството, което оперира Платформата FoodGo, със седалище в гр. Шумен, България, действащо за себе си и от името на своите Свързани лица.</w:t>
      </w:r>
    </w:p>
    <w:p>
      <w:pPr>
        <w:spacing w:after="120"/>
        <w:ind w:left="360" w:hanging="360"/>
      </w:pPr>
      <w:r>
        <w:rPr>
          <w:b/>
          <w:bCs/>
          <w:sz w:val="21"/>
          <w:szCs w:val="21"/>
        </w:rPr>
        <w:t xml:space="preserve">Търговска марка — </w:t>
      </w:r>
      <w:r>
        <w:rPr>
          <w:sz w:val="21"/>
          <w:szCs w:val="21"/>
        </w:rPr>
        <w:t xml:space="preserve">думите „FoodGo“, логото и всички други регистрирани или нерегистрирани търговски марки и лога, използвани от нас или наши Свързани лица.</w:t>
      </w:r>
    </w:p>
    <w:p>
      <w:pPr>
        <w:pStyle w:val="Heading1"/>
        <w:spacing w:after="160" w:before="320"/>
      </w:pPr>
      <w:r>
        <w:rPr>
          <w:b/>
          <w:bCs/>
          <w:sz w:val="30"/>
          <w:szCs w:val="30"/>
        </w:rPr>
        <w:t xml:space="preserve">РАЗДЕЛ Б. ОБЩИ УСЛОВИЯ</w:t>
      </w:r>
    </w:p>
    <w:p>
      <w:pPr>
        <w:pStyle w:val="Heading2"/>
        <w:spacing w:after="100" w:before="220"/>
      </w:pPr>
      <w:r>
        <w:rPr>
          <w:b/>
          <w:bCs/>
          <w:sz w:val="24"/>
          <w:szCs w:val="24"/>
        </w:rPr>
        <w:t xml:space="preserve">1. Посредническа роля</w:t>
      </w:r>
    </w:p>
    <w:p>
      <w:pPr>
        <w:spacing w:after="100"/>
        <w:ind w:left="360" w:hanging="360"/>
      </w:pPr>
      <w:r>
        <w:rPr>
          <w:b/>
          <w:bCs/>
          <w:sz w:val="21"/>
          <w:szCs w:val="21"/>
        </w:rPr>
        <w:t xml:space="preserve">1.1.  </w:t>
      </w:r>
      <w:r>
        <w:rPr>
          <w:sz w:val="21"/>
          <w:szCs w:val="21"/>
        </w:rPr>
        <w:t xml:space="preserve">Предоставяме ви Услугите, в резултат на което се сключват правно обвързващи договори за продажба на Стоки на Клиенти. Нашата роля е на посредник от ваше име; ние не сме страна по тези договори.</w:t>
      </w:r>
    </w:p>
    <w:p>
      <w:pPr>
        <w:spacing w:after="100"/>
        <w:ind w:left="360" w:hanging="360"/>
      </w:pPr>
      <w:r>
        <w:rPr>
          <w:b/>
          <w:bCs/>
          <w:sz w:val="21"/>
          <w:szCs w:val="21"/>
        </w:rPr>
        <w:t xml:space="preserve">1.2.  </w:t>
      </w:r>
      <w:r>
        <w:rPr>
          <w:sz w:val="21"/>
          <w:szCs w:val="21"/>
        </w:rPr>
        <w:t xml:space="preserve">Признавате, че FoodGo представлява и действа и от името на други ресторанти, магазини или професионалисти, които може да са ваши преки конкуренти.</w:t>
      </w:r>
    </w:p>
    <w:p>
      <w:pPr>
        <w:pStyle w:val="Heading2"/>
        <w:spacing w:after="100" w:before="220"/>
      </w:pPr>
      <w:r>
        <w:rPr>
          <w:b/>
          <w:bCs/>
          <w:sz w:val="24"/>
          <w:szCs w:val="24"/>
        </w:rPr>
        <w:t xml:space="preserve">2. Нашите задължения</w:t>
      </w:r>
    </w:p>
    <w:p>
      <w:pPr>
        <w:spacing w:after="100"/>
        <w:ind w:left="360" w:hanging="360"/>
      </w:pPr>
      <w:r>
        <w:rPr>
          <w:b/>
          <w:bCs/>
          <w:sz w:val="21"/>
          <w:szCs w:val="21"/>
        </w:rPr>
        <w:t xml:space="preserve">2.1.  </w:t>
      </w:r>
      <w:r>
        <w:rPr>
          <w:sz w:val="21"/>
          <w:szCs w:val="21"/>
        </w:rPr>
        <w:t xml:space="preserve">Ще ви предоставим: (а) услуга за обработка на поръчки, която позволява на Клиентите да подават Поръчки чрез Платформата; (б) Платежните услуги съгласно Раздел В за всички Поръчки с карта; (в) Услугите за доставка съгласно Раздел Г, когато сме се съгласили да ги осигурим; (г) Програмата за печати съгласно Раздел Д, ако сте посочили участие; (д) избрания Метод на свързване; и (е) други услуги, договорени периодично (заедно — „Услугите“).</w:t>
      </w:r>
    </w:p>
    <w:p>
      <w:pPr>
        <w:spacing w:after="100"/>
        <w:ind w:left="360" w:hanging="360"/>
      </w:pPr>
      <w:r>
        <w:rPr>
          <w:b/>
          <w:bCs/>
          <w:sz w:val="21"/>
          <w:szCs w:val="21"/>
        </w:rPr>
        <w:t xml:space="preserve">2.2.  </w:t>
      </w:r>
      <w:r>
        <w:rPr>
          <w:sz w:val="21"/>
          <w:szCs w:val="21"/>
        </w:rPr>
        <w:t xml:space="preserve">Ще извършим за вас: (а) разумно обучение за използване на Метода на свързване; (б) достъп до услуги за поддръжка; (в) при необходимост подмяна или ремонт на Метода на свързване; и (г) управление и обработка на необходимите възстановявания към Клиенти съгласно нашата политика за възстановяване.</w:t>
      </w:r>
    </w:p>
    <w:p>
      <w:pPr>
        <w:spacing w:after="100"/>
        <w:ind w:left="360" w:hanging="360"/>
      </w:pPr>
      <w:r>
        <w:rPr>
          <w:b/>
          <w:bCs/>
          <w:sz w:val="21"/>
          <w:szCs w:val="21"/>
        </w:rPr>
        <w:t xml:space="preserve">2.3.  </w:t>
      </w:r>
      <w:r>
        <w:rPr>
          <w:sz w:val="21"/>
          <w:szCs w:val="21"/>
        </w:rPr>
        <w:t xml:space="preserve">Ще ви начисляваме Таксите, посочени в регистрационната форма или по друг начин.</w:t>
      </w:r>
    </w:p>
    <w:p>
      <w:pPr>
        <w:pStyle w:val="Heading2"/>
        <w:spacing w:after="100" w:before="220"/>
      </w:pPr>
      <w:r>
        <w:rPr>
          <w:b/>
          <w:bCs/>
          <w:sz w:val="24"/>
          <w:szCs w:val="24"/>
        </w:rPr>
        <w:t xml:space="preserve">3. Маркетинг</w:t>
      </w:r>
    </w:p>
    <w:p>
      <w:pPr>
        <w:spacing w:after="100"/>
        <w:ind w:left="360" w:hanging="360"/>
      </w:pPr>
      <w:r>
        <w:rPr>
          <w:b/>
          <w:bCs/>
          <w:sz w:val="21"/>
          <w:szCs w:val="21"/>
        </w:rPr>
        <w:t xml:space="preserve">3.1.  </w:t>
      </w:r>
      <w:r>
        <w:rPr>
          <w:sz w:val="21"/>
          <w:szCs w:val="21"/>
        </w:rPr>
        <w:t xml:space="preserve">За да ви промотираме, се съгласявате, че ще използваме вашето име, лого, Информация за партньора и друга интелектуална собственост за маркетингови дейности през Срока — например маркетинг чрез търсачки, оптимизация за търсачки, създаване на уебсайт с вашата марка, връзки към Платформата и предоставяне на маркетингови материали.</w:t>
      </w:r>
    </w:p>
    <w:p>
      <w:pPr>
        <w:spacing w:after="120"/>
      </w:pPr>
      <w:r>
        <w:rPr>
          <w:sz w:val="21"/>
          <w:szCs w:val="21"/>
        </w:rPr>
        <w:t xml:space="preserve">Периодично може да ви изпращаме директни маркетингови съобщения относно нашите продукти или услуги. Можете да се отпишете по всяко време.</w:t>
      </w:r>
    </w:p>
    <w:p>
      <w:pPr>
        <w:pStyle w:val="Heading2"/>
        <w:spacing w:after="100" w:before="220"/>
      </w:pPr>
      <w:r>
        <w:rPr>
          <w:b/>
          <w:bCs/>
          <w:sz w:val="24"/>
          <w:szCs w:val="24"/>
        </w:rPr>
        <w:t xml:space="preserve">4. Отзиви</w:t>
      </w:r>
    </w:p>
    <w:p>
      <w:pPr>
        <w:spacing w:after="120"/>
      </w:pPr>
      <w:r>
        <w:rPr>
          <w:sz w:val="21"/>
          <w:szCs w:val="21"/>
        </w:rPr>
        <w:t xml:space="preserve">Може да показваме на Платформата оценки и коментари („Отзиви“), предоставени от Клиенти. Ще премахваме или редактираме Отзиви, които по наша преценка са неоснователно клеветнически или неприемливи, съгласно нашите правила и приложимото законодателство. Вие няма сами да публикувате Отзиви за себе си.</w:t>
      </w:r>
    </w:p>
    <w:p>
      <w:pPr>
        <w:pStyle w:val="Heading2"/>
        <w:spacing w:after="100" w:before="220"/>
      </w:pPr>
      <w:r>
        <w:rPr>
          <w:b/>
          <w:bCs/>
          <w:sz w:val="24"/>
          <w:szCs w:val="24"/>
        </w:rPr>
        <w:t xml:space="preserve">5. Системи за препоръки и параметри за класиране</w:t>
      </w:r>
    </w:p>
    <w:p>
      <w:pPr>
        <w:spacing w:after="120"/>
      </w:pPr>
      <w:r>
        <w:rPr>
          <w:sz w:val="21"/>
          <w:szCs w:val="21"/>
        </w:rPr>
        <w:t xml:space="preserve">На Платформата използваме системи за препоръки и параметри за класиране, за да определим реда, в който Партньорите и Стоките се показват в резултатите от търсене. Можете да влияете на класирането си при определени условия чрез нашите промоционални програми.</w:t>
      </w:r>
    </w:p>
    <w:p>
      <w:pPr>
        <w:pStyle w:val="Heading2"/>
        <w:spacing w:after="100" w:before="220"/>
      </w:pPr>
      <w:r>
        <w:rPr>
          <w:b/>
          <w:bCs/>
          <w:sz w:val="24"/>
          <w:szCs w:val="24"/>
        </w:rPr>
        <w:t xml:space="preserve">6. Методи на свързване</w:t>
      </w:r>
    </w:p>
    <w:p>
      <w:pPr>
        <w:spacing w:after="100"/>
        <w:ind w:left="360" w:hanging="360"/>
      </w:pPr>
      <w:r>
        <w:rPr>
          <w:b/>
          <w:bCs/>
          <w:sz w:val="21"/>
          <w:szCs w:val="21"/>
        </w:rPr>
        <w:t xml:space="preserve">6.1.  </w:t>
      </w:r>
      <w:r>
        <w:rPr>
          <w:sz w:val="21"/>
          <w:szCs w:val="21"/>
        </w:rPr>
        <w:t xml:space="preserve">Като част от Услугата предлагаме връзка между Платформата и вас за предаване на Поръчки чрез стандартни методи на свързване.</w:t>
      </w:r>
    </w:p>
    <w:p>
      <w:pPr>
        <w:spacing w:after="100"/>
        <w:ind w:left="360" w:hanging="360"/>
      </w:pPr>
      <w:r>
        <w:rPr>
          <w:b/>
          <w:bCs/>
          <w:sz w:val="21"/>
          <w:szCs w:val="21"/>
        </w:rPr>
        <w:t xml:space="preserve">6.2.  </w:t>
      </w:r>
      <w:r>
        <w:rPr>
          <w:sz w:val="21"/>
          <w:szCs w:val="21"/>
        </w:rPr>
        <w:t xml:space="preserve">Може да предоставим API методи на свързване. В зависимост от използвания метод може да се прилагат отделни условия и такси.</w:t>
      </w:r>
    </w:p>
    <w:p>
      <w:pPr>
        <w:spacing w:after="100"/>
        <w:ind w:left="360" w:hanging="360"/>
      </w:pPr>
      <w:r>
        <w:rPr>
          <w:b/>
          <w:bCs/>
          <w:sz w:val="21"/>
          <w:szCs w:val="21"/>
        </w:rPr>
        <w:t xml:space="preserve">6.3.  </w:t>
      </w:r>
      <w:r>
        <w:rPr>
          <w:sz w:val="21"/>
          <w:szCs w:val="21"/>
        </w:rPr>
        <w:t xml:space="preserve">Ще положим максимални усилия да поддържаме методите на свързване през целия срок на Договора и ще ви уведомим при (временно) прекратяване.</w:t>
      </w:r>
    </w:p>
    <w:p>
      <w:pPr>
        <w:spacing w:after="100"/>
        <w:ind w:left="360" w:hanging="360"/>
      </w:pPr>
      <w:r>
        <w:rPr>
          <w:b/>
          <w:bCs/>
          <w:sz w:val="21"/>
          <w:szCs w:val="21"/>
        </w:rPr>
        <w:t xml:space="preserve">6.4.  </w:t>
      </w:r>
      <w:r>
        <w:rPr>
          <w:sz w:val="21"/>
          <w:szCs w:val="21"/>
        </w:rPr>
        <w:t xml:space="preserve">Ако използвате POS система, която не е предоставена от нас, поемате пълна отговорност за нея и гарантирате, че тя няма да използва данни за свои цели.</w:t>
      </w:r>
    </w:p>
    <w:p>
      <w:pPr>
        <w:pStyle w:val="Heading2"/>
        <w:spacing w:after="100" w:before="220"/>
      </w:pPr>
      <w:r>
        <w:rPr>
          <w:b/>
          <w:bCs/>
          <w:sz w:val="24"/>
          <w:szCs w:val="24"/>
        </w:rPr>
        <w:t xml:space="preserve">7. Регистрация в Платформата</w:t>
      </w:r>
    </w:p>
    <w:p>
      <w:pPr>
        <w:spacing w:after="100"/>
        <w:ind w:left="360" w:hanging="360"/>
      </w:pPr>
      <w:r>
        <w:rPr>
          <w:b/>
          <w:bCs/>
          <w:sz w:val="21"/>
          <w:szCs w:val="21"/>
        </w:rPr>
        <w:t xml:space="preserve">7.1.  </w:t>
      </w:r>
      <w:r>
        <w:rPr>
          <w:sz w:val="21"/>
          <w:szCs w:val="21"/>
        </w:rPr>
        <w:t xml:space="preserve">Регистрирате се, като подадете попълнена регистрационна форма, включително всички документи и KYC информация. Договорът зависи от потвърждаването на получаването и одобрението им от FoodGo.</w:t>
      </w:r>
    </w:p>
    <w:p>
      <w:pPr>
        <w:spacing w:after="100"/>
        <w:ind w:left="360" w:hanging="360"/>
      </w:pPr>
      <w:r>
        <w:rPr>
          <w:b/>
          <w:bCs/>
          <w:sz w:val="21"/>
          <w:szCs w:val="21"/>
        </w:rPr>
        <w:t xml:space="preserve">7.2.  </w:t>
      </w:r>
      <w:r>
        <w:rPr>
          <w:sz w:val="21"/>
          <w:szCs w:val="21"/>
        </w:rPr>
        <w:t xml:space="preserve">Можем да откажем регистрация на определен Обект по наша преценка, например когато не предоставяме Услуги за доставка в дадена зона или поради KYC проблеми.</w:t>
      </w:r>
    </w:p>
    <w:p>
      <w:pPr>
        <w:spacing w:after="100"/>
        <w:ind w:left="360" w:hanging="360"/>
      </w:pPr>
      <w:r>
        <w:rPr>
          <w:b/>
          <w:bCs/>
          <w:sz w:val="21"/>
          <w:szCs w:val="21"/>
        </w:rPr>
        <w:t xml:space="preserve">7.3.  </w:t>
      </w:r>
      <w:r>
        <w:rPr>
          <w:sz w:val="21"/>
          <w:szCs w:val="21"/>
        </w:rPr>
        <w:t xml:space="preserve">Можете да регистрирате най-много един (1) Обект на адрес.</w:t>
      </w:r>
    </w:p>
    <w:p>
      <w:pPr>
        <w:spacing w:after="100"/>
        <w:ind w:left="360" w:hanging="360"/>
      </w:pPr>
      <w:r>
        <w:rPr>
          <w:b/>
          <w:bCs/>
          <w:sz w:val="21"/>
          <w:szCs w:val="21"/>
        </w:rPr>
        <w:t xml:space="preserve">7.4.  </w:t>
      </w:r>
      <w:r>
        <w:rPr>
          <w:sz w:val="21"/>
          <w:szCs w:val="21"/>
        </w:rPr>
        <w:t xml:space="preserve">С регистрацията гарантирате, че не сте в несъстоятелност, ликвидация или преструктуриране и не сте обект на разследване от орган.</w:t>
      </w:r>
    </w:p>
    <w:p>
      <w:pPr>
        <w:spacing w:after="100"/>
        <w:ind w:left="360" w:hanging="360"/>
      </w:pPr>
      <w:r>
        <w:rPr>
          <w:b/>
          <w:bCs/>
          <w:sz w:val="21"/>
          <w:szCs w:val="21"/>
        </w:rPr>
        <w:t xml:space="preserve">7.5.  </w:t>
      </w:r>
      <w:r>
        <w:rPr>
          <w:sz w:val="21"/>
          <w:szCs w:val="21"/>
        </w:rPr>
        <w:t xml:space="preserve">След приемане на регистрацията ще ви предоставим достъп до Партньорския портал, където публикуваме релевантна информация — обработени Поръчки, дължими плащания и фактури.</w:t>
      </w:r>
    </w:p>
    <w:p>
      <w:pPr>
        <w:spacing w:after="100"/>
        <w:ind w:left="360" w:hanging="360"/>
      </w:pPr>
      <w:r>
        <w:rPr>
          <w:b/>
          <w:bCs/>
          <w:sz w:val="21"/>
          <w:szCs w:val="21"/>
        </w:rPr>
        <w:t xml:space="preserve">7.6.  </w:t>
      </w:r>
      <w:r>
        <w:rPr>
          <w:sz w:val="21"/>
          <w:szCs w:val="21"/>
        </w:rPr>
        <w:t xml:space="preserve">Периодично проверяваме партньорите и техните собственици спрямо Санкционните списъци. Ако присъствате в такъв списък, можем да ограничим, спрем или прекратим Услугите съгласно Клауза 14.</w:t>
      </w:r>
    </w:p>
    <w:p>
      <w:pPr>
        <w:spacing w:after="100"/>
        <w:ind w:left="360" w:hanging="360"/>
      </w:pPr>
      <w:r>
        <w:rPr>
          <w:b/>
          <w:bCs/>
          <w:sz w:val="21"/>
          <w:szCs w:val="21"/>
        </w:rPr>
        <w:t xml:space="preserve">7.7.  </w:t>
      </w:r>
      <w:r>
        <w:rPr>
          <w:sz w:val="21"/>
          <w:szCs w:val="21"/>
        </w:rPr>
        <w:t xml:space="preserve">Достъпът до Партньорския портал е личен и поверителен. Длъжни сте да пазите данните си за вход и отговаряте за всяко използване на профила ви.</w:t>
      </w:r>
    </w:p>
    <w:p>
      <w:pPr>
        <w:pStyle w:val="Heading2"/>
        <w:spacing w:after="100" w:before="220"/>
      </w:pPr>
      <w:r>
        <w:rPr>
          <w:b/>
          <w:bCs/>
          <w:sz w:val="24"/>
          <w:szCs w:val="24"/>
        </w:rPr>
        <w:t xml:space="preserve">8. Вашите задължения</w:t>
      </w:r>
    </w:p>
    <w:p>
      <w:pPr>
        <w:spacing w:after="100"/>
        <w:ind w:left="360" w:hanging="360"/>
      </w:pPr>
      <w:r>
        <w:rPr>
          <w:b/>
          <w:bCs/>
          <w:sz w:val="21"/>
          <w:szCs w:val="21"/>
        </w:rPr>
        <w:t xml:space="preserve">8.1.  </w:t>
      </w:r>
      <w:r>
        <w:rPr>
          <w:sz w:val="21"/>
          <w:szCs w:val="21"/>
        </w:rPr>
        <w:t xml:space="preserve">Трябва да предоставяте Информацията за партньора, която изискваме, и да гарантирате, че тя е точна, съобразена със закона и актуална. Запазваме правото да спрем Услугите, докато го направите.</w:t>
      </w:r>
    </w:p>
    <w:p>
      <w:pPr>
        <w:spacing w:after="100"/>
        <w:ind w:left="360" w:hanging="360"/>
      </w:pPr>
      <w:r>
        <w:rPr>
          <w:b/>
          <w:bCs/>
          <w:sz w:val="21"/>
          <w:szCs w:val="21"/>
        </w:rPr>
        <w:t xml:space="preserve">8.4.  </w:t>
      </w:r>
      <w:r>
        <w:rPr>
          <w:sz w:val="21"/>
          <w:szCs w:val="21"/>
        </w:rPr>
        <w:t xml:space="preserve">Трябва да ни предоставяте точна и пълна информация за алергените във вашите Стоки, хранителна информация и всякакви други данни, изисквани от закона. Вие отговаряте изцяло за точността на тази информация.</w:t>
      </w:r>
    </w:p>
    <w:p>
      <w:pPr>
        <w:spacing w:after="100"/>
        <w:ind w:left="360" w:hanging="360"/>
      </w:pPr>
      <w:r>
        <w:rPr>
          <w:b/>
          <w:bCs/>
          <w:sz w:val="21"/>
          <w:szCs w:val="21"/>
        </w:rPr>
        <w:t xml:space="preserve">8.11.  </w:t>
      </w:r>
      <w:r>
        <w:rPr>
          <w:sz w:val="21"/>
          <w:szCs w:val="21"/>
        </w:rPr>
        <w:t xml:space="preserve">През Срока не трябва да: (а) управлявате бизнеса си по начин, вреден за нашата репутация; (б) извършвате действия, вредни за нашия бизнес или репутация; или (в) се държите неуважително към клиенти, служители или доставчици.</w:t>
      </w:r>
    </w:p>
    <w:p>
      <w:pPr>
        <w:spacing w:after="100"/>
        <w:ind w:left="360" w:hanging="360"/>
      </w:pPr>
      <w:r>
        <w:rPr>
          <w:b/>
          <w:bCs/>
          <w:sz w:val="21"/>
          <w:szCs w:val="21"/>
        </w:rPr>
        <w:t xml:space="preserve">8.12.  </w:t>
      </w:r>
      <w:r>
        <w:rPr>
          <w:sz w:val="21"/>
          <w:szCs w:val="21"/>
        </w:rPr>
        <w:t xml:space="preserve">Отговаряте за качеството на Стоките и гарантирате, че са с добро търговско качество, не са с изтекъл срок и са безопасни за консумация и/или употреба.</w:t>
      </w:r>
    </w:p>
    <w:p>
      <w:pPr>
        <w:spacing w:after="100"/>
        <w:ind w:left="360" w:hanging="360"/>
      </w:pPr>
      <w:r>
        <w:rPr>
          <w:b/>
          <w:bCs/>
          <w:sz w:val="21"/>
          <w:szCs w:val="21"/>
        </w:rPr>
        <w:t xml:space="preserve">8.16.  </w:t>
      </w:r>
      <w:r>
        <w:rPr>
          <w:sz w:val="21"/>
          <w:szCs w:val="21"/>
        </w:rPr>
        <w:t xml:space="preserve">През Срока трябва да прилагате Гаранцията за еднаква цена. При нарушение разликата в цената се фактурира на вас, а на Клиента се възстановява чрез ваучер.</w:t>
      </w:r>
    </w:p>
    <w:p>
      <w:pPr>
        <w:spacing w:after="100"/>
        <w:ind w:left="360" w:hanging="360"/>
      </w:pPr>
      <w:r>
        <w:rPr>
          <w:b/>
          <w:bCs/>
          <w:sz w:val="21"/>
          <w:szCs w:val="21"/>
        </w:rPr>
        <w:t xml:space="preserve">8.20.  </w:t>
      </w:r>
      <w:r>
        <w:rPr>
          <w:sz w:val="21"/>
          <w:szCs w:val="21"/>
        </w:rPr>
        <w:t xml:space="preserve">След подаване на Поръчка от Клиент между вас и Клиента възниква договор за доставка на Стоки. Трябва да изпълните Поръчката съгласно детайлите ѝ. При неизпълнение можем да предприемем разумни действия, включително възстановяване на Клиента за ваша сметка.</w:t>
      </w:r>
    </w:p>
    <w:p>
      <w:pPr>
        <w:spacing w:after="100"/>
        <w:ind w:left="360" w:hanging="360"/>
      </w:pPr>
      <w:r>
        <w:rPr>
          <w:b/>
          <w:bCs/>
          <w:sz w:val="21"/>
          <w:szCs w:val="21"/>
        </w:rPr>
        <w:t xml:space="preserve">8.21.  </w:t>
      </w:r>
      <w:r>
        <w:rPr>
          <w:sz w:val="21"/>
          <w:szCs w:val="21"/>
        </w:rPr>
        <w:t xml:space="preserve">Трябва да полагате максимални усилия да приемате всички Поръчки и да сте достъпни през работното си време. Ако не можете да изпълните Поръчка, трябва да смените статуса си на „офлайн“.</w:t>
      </w:r>
    </w:p>
    <w:p>
      <w:pPr>
        <w:spacing w:after="100"/>
        <w:ind w:left="360" w:hanging="360"/>
      </w:pPr>
      <w:r>
        <w:rPr>
          <w:b/>
          <w:bCs/>
          <w:sz w:val="21"/>
          <w:szCs w:val="21"/>
        </w:rPr>
        <w:t xml:space="preserve">8.22.  </w:t>
      </w:r>
      <w:r>
        <w:rPr>
          <w:sz w:val="21"/>
          <w:szCs w:val="21"/>
        </w:rPr>
        <w:t xml:space="preserve">Ако продавате алкохол или други стоки с възрастово ограничение, вие сте единствено отговорни да гарантирате, че Клиентът е над законовата възраст, и да изисквате документ за самоличност при доставка или вземане.</w:t>
      </w:r>
    </w:p>
    <w:p>
      <w:pPr>
        <w:pStyle w:val="Heading2"/>
        <w:spacing w:after="100" w:before="220"/>
      </w:pPr>
      <w:r>
        <w:rPr>
          <w:b/>
          <w:bCs/>
          <w:sz w:val="24"/>
          <w:szCs w:val="24"/>
        </w:rPr>
        <w:t xml:space="preserve">9. Плащания от Клиенти</w:t>
      </w:r>
    </w:p>
    <w:p>
      <w:pPr>
        <w:spacing w:after="100"/>
        <w:ind w:left="360" w:hanging="360"/>
      </w:pPr>
      <w:r>
        <w:rPr>
          <w:b/>
          <w:bCs/>
          <w:sz w:val="21"/>
          <w:szCs w:val="21"/>
        </w:rPr>
        <w:t xml:space="preserve">9.1.  </w:t>
      </w:r>
      <w:r>
        <w:rPr>
          <w:sz w:val="21"/>
          <w:szCs w:val="21"/>
        </w:rPr>
        <w:t xml:space="preserve">Когато получаваме плащане от Клиенти за Поръчки с карта, полученото плащане (Брутната стойност на поръчката) минус дължимите Такси се задържа от ваше име, докато стане платимо съгласно Платежните условия (Раздел В).</w:t>
      </w:r>
    </w:p>
    <w:p>
      <w:pPr>
        <w:spacing w:after="100"/>
        <w:ind w:left="360" w:hanging="360"/>
      </w:pPr>
      <w:r>
        <w:rPr>
          <w:b/>
          <w:bCs/>
          <w:sz w:val="21"/>
          <w:szCs w:val="21"/>
        </w:rPr>
        <w:t xml:space="preserve">9.3.  </w:t>
      </w:r>
      <w:r>
        <w:rPr>
          <w:sz w:val="21"/>
          <w:szCs w:val="21"/>
        </w:rPr>
        <w:t xml:space="preserve">Всяка седмица ви предоставяме комбинирано Извлечение в Партньорския портал, което включва брутната стойност на всички Поръчки, начислените Такси и салдото.</w:t>
      </w:r>
    </w:p>
    <w:p>
      <w:pPr>
        <w:spacing w:after="100"/>
        <w:ind w:left="360" w:hanging="360"/>
      </w:pPr>
      <w:r>
        <w:rPr>
          <w:b/>
          <w:bCs/>
          <w:sz w:val="21"/>
          <w:szCs w:val="21"/>
        </w:rPr>
        <w:t xml:space="preserve">9.5.  </w:t>
      </w:r>
      <w:r>
        <w:rPr>
          <w:sz w:val="21"/>
          <w:szCs w:val="21"/>
        </w:rPr>
        <w:t xml:space="preserve">Можем да прихващаме дължими от вас суми срещу суми, дължими към вас, по всяко време, включително Chargebacks и разходи, произтичащи от нарушение на Договора.</w:t>
      </w:r>
    </w:p>
    <w:p>
      <w:pPr>
        <w:spacing w:after="100"/>
        <w:ind w:left="360" w:hanging="360"/>
      </w:pPr>
      <w:r>
        <w:rPr>
          <w:b/>
          <w:bCs/>
          <w:sz w:val="21"/>
          <w:szCs w:val="21"/>
        </w:rPr>
        <w:t xml:space="preserve">9.6.  </w:t>
      </w:r>
      <w:r>
        <w:rPr>
          <w:sz w:val="21"/>
          <w:szCs w:val="21"/>
        </w:rPr>
        <w:t xml:space="preserve">Всички фактури са платими от вас в срок от 15 (петнадесет) дни от датата на Извлечението.</w:t>
      </w:r>
    </w:p>
    <w:p>
      <w:pPr>
        <w:spacing w:after="100"/>
        <w:ind w:left="360" w:hanging="360"/>
      </w:pPr>
      <w:r>
        <w:rPr>
          <w:b/>
          <w:bCs/>
          <w:sz w:val="21"/>
          <w:szCs w:val="21"/>
        </w:rPr>
        <w:t xml:space="preserve">9.7.  </w:t>
      </w:r>
      <w:r>
        <w:rPr>
          <w:sz w:val="21"/>
          <w:szCs w:val="21"/>
        </w:rPr>
        <w:t xml:space="preserve">Можем да начисляваме месечна лихва от 2% над лихвения процент върху неплатени суми от датата на падежа.</w:t>
      </w:r>
    </w:p>
    <w:p>
      <w:pPr>
        <w:pStyle w:val="Heading2"/>
        <w:spacing w:after="100" w:before="220"/>
      </w:pPr>
      <w:r>
        <w:rPr>
          <w:b/>
          <w:bCs/>
          <w:sz w:val="24"/>
          <w:szCs w:val="24"/>
        </w:rPr>
        <w:t xml:space="preserve">10. Поверителна информация</w:t>
      </w:r>
    </w:p>
    <w:p>
      <w:pPr>
        <w:spacing w:after="100"/>
        <w:ind w:left="360" w:hanging="360"/>
      </w:pPr>
      <w:r>
        <w:rPr>
          <w:b/>
          <w:bCs/>
          <w:sz w:val="21"/>
          <w:szCs w:val="21"/>
        </w:rPr>
        <w:t xml:space="preserve">10.1.  </w:t>
      </w:r>
      <w:r>
        <w:rPr>
          <w:sz w:val="21"/>
          <w:szCs w:val="21"/>
        </w:rPr>
        <w:t xml:space="preserve">Вие и ние трябва да пазим и да не използваме или разкриваме за непредвидени в Договора цели поверителната информация на другата страна, включително Личните данни на Клиентите и условията на Договора.</w:t>
      </w:r>
    </w:p>
    <w:p>
      <w:pPr>
        <w:spacing w:after="100"/>
        <w:ind w:left="360" w:hanging="360"/>
      </w:pPr>
      <w:r>
        <w:rPr>
          <w:b/>
          <w:bCs/>
          <w:sz w:val="21"/>
          <w:szCs w:val="21"/>
        </w:rPr>
        <w:t xml:space="preserve">10.3.  </w:t>
      </w:r>
      <w:r>
        <w:rPr>
          <w:sz w:val="21"/>
          <w:szCs w:val="21"/>
        </w:rPr>
        <w:t xml:space="preserve">Тази Клауза 10 остава в сила за период от 5 (пет) години след прекратяване на Договора.</w:t>
      </w:r>
    </w:p>
    <w:p>
      <w:pPr>
        <w:pStyle w:val="Heading2"/>
        <w:spacing w:after="100" w:before="220"/>
      </w:pPr>
      <w:r>
        <w:rPr>
          <w:b/>
          <w:bCs/>
          <w:sz w:val="24"/>
          <w:szCs w:val="24"/>
        </w:rPr>
        <w:t xml:space="preserve">11. Интелектуална собственост</w:t>
      </w:r>
    </w:p>
    <w:p>
      <w:pPr>
        <w:spacing w:after="100"/>
        <w:ind w:left="360" w:hanging="360"/>
      </w:pPr>
      <w:r>
        <w:rPr>
          <w:b/>
          <w:bCs/>
          <w:sz w:val="21"/>
          <w:szCs w:val="21"/>
        </w:rPr>
        <w:t xml:space="preserve">11.1.  </w:t>
      </w:r>
      <w:r>
        <w:rPr>
          <w:sz w:val="21"/>
          <w:szCs w:val="21"/>
        </w:rPr>
        <w:t xml:space="preserve">Не можете да използвате нашите ПИС без изрично разрешение. Може да използвате артикули с наша Търговска марка само съгласно нашите инструкции.</w:t>
      </w:r>
    </w:p>
    <w:p>
      <w:pPr>
        <w:spacing w:after="100"/>
        <w:ind w:left="360" w:hanging="360"/>
      </w:pPr>
      <w:r>
        <w:rPr>
          <w:b/>
          <w:bCs/>
          <w:sz w:val="21"/>
          <w:szCs w:val="21"/>
        </w:rPr>
        <w:t xml:space="preserve">11.6.  </w:t>
      </w:r>
      <w:r>
        <w:rPr>
          <w:sz w:val="21"/>
          <w:szCs w:val="21"/>
        </w:rPr>
        <w:t xml:space="preserve">Предоставяте ни безвъзмезден лиценз да използваме вашето име, лого и друга интелектуална собственост, за да изпълняваме задълженията си по Договора, включително маркетинговите дейности. Вашата интелектуална собственост остава ваша собственост.</w:t>
      </w:r>
    </w:p>
    <w:p>
      <w:pPr>
        <w:pStyle w:val="Heading2"/>
        <w:spacing w:after="100" w:before="220"/>
      </w:pPr>
      <w:r>
        <w:rPr>
          <w:b/>
          <w:bCs/>
          <w:sz w:val="24"/>
          <w:szCs w:val="24"/>
        </w:rPr>
        <w:t xml:space="preserve">12. Отговорност и застраховка</w:t>
      </w:r>
    </w:p>
    <w:p>
      <w:pPr>
        <w:spacing w:after="100"/>
        <w:ind w:left="360" w:hanging="360"/>
      </w:pPr>
      <w:r>
        <w:rPr>
          <w:b/>
          <w:bCs/>
          <w:sz w:val="21"/>
          <w:szCs w:val="21"/>
        </w:rPr>
        <w:t xml:space="preserve">12.4.  </w:t>
      </w:r>
      <w:r>
        <w:rPr>
          <w:sz w:val="21"/>
          <w:szCs w:val="21"/>
        </w:rPr>
        <w:t xml:space="preserve">Ще ни обезщетите изцяло за всички такси (включително Chargebacks), загуби, вреди или искове (и всички свързани разходи, включително правни такси), произтичащи от ваше нарушение на Договора или от иск на трета страна, свързан с отношенията ни с вас.</w:t>
      </w:r>
    </w:p>
    <w:p>
      <w:pPr>
        <w:spacing w:after="100"/>
        <w:ind w:left="360" w:hanging="360"/>
      </w:pPr>
      <w:r>
        <w:rPr>
          <w:b/>
          <w:bCs/>
          <w:sz w:val="21"/>
          <w:szCs w:val="21"/>
        </w:rPr>
        <w:t xml:space="preserve">12.5.  </w:t>
      </w:r>
      <w:r>
        <w:rPr>
          <w:sz w:val="21"/>
          <w:szCs w:val="21"/>
        </w:rPr>
        <w:t xml:space="preserve">Трябва да поддържате за своя сметка застрахователните полици, изисквани от закона и/или добрата търговска практика, и да представите доказателство при поискване.</w:t>
      </w:r>
    </w:p>
    <w:p>
      <w:pPr>
        <w:pStyle w:val="Heading2"/>
        <w:spacing w:after="100" w:before="220"/>
      </w:pPr>
      <w:r>
        <w:rPr>
          <w:b/>
          <w:bCs/>
          <w:sz w:val="24"/>
          <w:szCs w:val="24"/>
        </w:rPr>
        <w:t xml:space="preserve">13. Достъп до данни и защита на личните данни</w:t>
      </w:r>
    </w:p>
    <w:p>
      <w:pPr>
        <w:spacing w:after="100"/>
        <w:ind w:left="360" w:hanging="360"/>
      </w:pPr>
      <w:r>
        <w:rPr>
          <w:b/>
          <w:bCs/>
          <w:sz w:val="21"/>
          <w:szCs w:val="21"/>
        </w:rPr>
        <w:t xml:space="preserve">13.3.  </w:t>
      </w:r>
      <w:r>
        <w:rPr>
          <w:sz w:val="21"/>
          <w:szCs w:val="21"/>
        </w:rPr>
        <w:t xml:space="preserve">Вие и ние сме отделни администратори на Личните данни, обработвани в контекста на Договора, всеки за свои цели и със свои средства.</w:t>
      </w:r>
    </w:p>
    <w:p>
      <w:pPr>
        <w:spacing w:after="100"/>
        <w:ind w:left="360" w:hanging="360"/>
      </w:pPr>
      <w:r>
        <w:rPr>
          <w:b/>
          <w:bCs/>
          <w:sz w:val="21"/>
          <w:szCs w:val="21"/>
        </w:rPr>
        <w:t xml:space="preserve">13.5.  </w:t>
      </w:r>
      <w:r>
        <w:rPr>
          <w:sz w:val="21"/>
          <w:szCs w:val="21"/>
        </w:rPr>
        <w:t xml:space="preserve">Няма да предоставяте Лични данни на Клиенти на трети страни и ще прилагате подходящи Мерки за сигурност за защитата им.</w:t>
      </w:r>
    </w:p>
    <w:p>
      <w:pPr>
        <w:spacing w:after="100"/>
        <w:ind w:left="360" w:hanging="360"/>
      </w:pPr>
      <w:r>
        <w:rPr>
          <w:b/>
          <w:bCs/>
          <w:sz w:val="21"/>
          <w:szCs w:val="21"/>
        </w:rPr>
        <w:t xml:space="preserve">13.7.  </w:t>
      </w:r>
      <w:r>
        <w:rPr>
          <w:sz w:val="21"/>
          <w:szCs w:val="21"/>
        </w:rPr>
        <w:t xml:space="preserve">Ще ни уведомявате незабавно за всяко нарушение на сигурността на Лични данни на Клиенти, за което узнаете.</w:t>
      </w:r>
    </w:p>
    <w:p>
      <w:pPr>
        <w:pStyle w:val="Heading2"/>
        <w:spacing w:after="100" w:before="220"/>
      </w:pPr>
      <w:r>
        <w:rPr>
          <w:b/>
          <w:bCs/>
          <w:sz w:val="24"/>
          <w:szCs w:val="24"/>
        </w:rPr>
        <w:t xml:space="preserve">14. Ограничаване, спиране и прекратяване</w:t>
      </w:r>
    </w:p>
    <w:p>
      <w:pPr>
        <w:spacing w:after="100"/>
        <w:ind w:left="360" w:hanging="360"/>
      </w:pPr>
      <w:r>
        <w:rPr>
          <w:b/>
          <w:bCs/>
          <w:sz w:val="21"/>
          <w:szCs w:val="21"/>
        </w:rPr>
        <w:t xml:space="preserve">14.1.  </w:t>
      </w:r>
      <w:r>
        <w:rPr>
          <w:sz w:val="21"/>
          <w:szCs w:val="21"/>
        </w:rPr>
        <w:t xml:space="preserve">Можем да ограничим, спрем или прекратим предоставянето на Услугите, ако (обосновано) считаме, че сте в нарушение на задълженията си, или ако настъпи някое от събитията по Клауза 14.3.</w:t>
      </w:r>
    </w:p>
    <w:p>
      <w:pPr>
        <w:spacing w:after="100"/>
        <w:ind w:left="360" w:hanging="360"/>
      </w:pPr>
      <w:r>
        <w:rPr>
          <w:b/>
          <w:bCs/>
          <w:sz w:val="21"/>
          <w:szCs w:val="21"/>
        </w:rPr>
        <w:t xml:space="preserve">14.3.  </w:t>
      </w:r>
      <w:r>
        <w:rPr>
          <w:sz w:val="21"/>
          <w:szCs w:val="21"/>
        </w:rPr>
        <w:t xml:space="preserve">Всяка от страните може да прекрати Договора с писмено предизвестие: (а) при съществено неотстранено нарушение; (б) при несъстоятелност; (в) при Форсмажорно събитие, което прави Услугите практически невъзможни; или (г) при законово изискване.</w:t>
      </w:r>
    </w:p>
    <w:p>
      <w:pPr>
        <w:spacing w:after="100"/>
        <w:ind w:left="360" w:hanging="360"/>
      </w:pPr>
      <w:r>
        <w:rPr>
          <w:b/>
          <w:bCs/>
          <w:sz w:val="21"/>
          <w:szCs w:val="21"/>
        </w:rPr>
        <w:t xml:space="preserve">14.5.  </w:t>
      </w:r>
      <w:r>
        <w:rPr>
          <w:sz w:val="21"/>
          <w:szCs w:val="21"/>
        </w:rPr>
        <w:t xml:space="preserve">Можете да прекратите Договора и без причина, но трябва да ни предоставите поне 30 (тридесет) дни писмено предизвестие.</w:t>
      </w:r>
    </w:p>
    <w:p>
      <w:pPr>
        <w:spacing w:after="100"/>
        <w:ind w:left="360" w:hanging="360"/>
      </w:pPr>
      <w:r>
        <w:rPr>
          <w:b/>
          <w:bCs/>
          <w:sz w:val="21"/>
          <w:szCs w:val="21"/>
        </w:rPr>
        <w:t xml:space="preserve">14.6.  </w:t>
      </w:r>
      <w:r>
        <w:rPr>
          <w:sz w:val="21"/>
          <w:szCs w:val="21"/>
        </w:rPr>
        <w:t xml:space="preserve">Ако прекратим Договора, ще ви уведомим и обясним причините поне 30 (тридесет) дни предварително, освен при прекратяване по Клауза 14.3.</w:t>
      </w:r>
    </w:p>
    <w:p>
      <w:pPr>
        <w:pStyle w:val="Heading2"/>
        <w:spacing w:after="100" w:before="220"/>
      </w:pPr>
      <w:r>
        <w:rPr>
          <w:b/>
          <w:bCs/>
          <w:sz w:val="24"/>
          <w:szCs w:val="24"/>
        </w:rPr>
        <w:t xml:space="preserve">15. Правомощия и промяна на собствеността</w:t>
      </w:r>
    </w:p>
    <w:p>
      <w:pPr>
        <w:spacing w:after="100"/>
        <w:ind w:left="360" w:hanging="360"/>
      </w:pPr>
      <w:r>
        <w:rPr>
          <w:b/>
          <w:bCs/>
          <w:sz w:val="21"/>
          <w:szCs w:val="21"/>
        </w:rPr>
        <w:t xml:space="preserve">15.3.  </w:t>
      </w:r>
      <w:r>
        <w:rPr>
          <w:sz w:val="21"/>
          <w:szCs w:val="21"/>
        </w:rPr>
        <w:t xml:space="preserve">Ако продадете или прехвърлите бизнеса си, трябва да уведомите новия собственик за този Договор и да ни предоставите поне 14 дни писмено предизвестие за предложената продажба или прехвърляне.</w:t>
      </w:r>
    </w:p>
    <w:p>
      <w:pPr>
        <w:pStyle w:val="Heading2"/>
        <w:spacing w:after="100" w:before="220"/>
      </w:pPr>
      <w:r>
        <w:rPr>
          <w:b/>
          <w:bCs/>
          <w:sz w:val="24"/>
          <w:szCs w:val="24"/>
        </w:rPr>
        <w:t xml:space="preserve">16. Съгласия и спазване на законите</w:t>
      </w:r>
    </w:p>
    <w:p>
      <w:pPr>
        <w:spacing w:after="100"/>
        <w:ind w:left="360" w:hanging="360"/>
      </w:pPr>
      <w:r>
        <w:rPr>
          <w:b/>
          <w:bCs/>
          <w:sz w:val="21"/>
          <w:szCs w:val="21"/>
        </w:rPr>
        <w:t xml:space="preserve">16.1.  </w:t>
      </w:r>
      <w:r>
        <w:rPr>
          <w:sz w:val="21"/>
          <w:szCs w:val="21"/>
        </w:rPr>
        <w:t xml:space="preserve">Потвърждавате, че сте получили и ще поддържате всички необходими съгласия, лицензи, разрешения и регистрации на всеки релевантен орган във връзка с бизнеса ви.</w:t>
      </w:r>
    </w:p>
    <w:p>
      <w:pPr>
        <w:spacing w:after="100"/>
        <w:ind w:left="360" w:hanging="360"/>
      </w:pPr>
      <w:r>
        <w:rPr>
          <w:b/>
          <w:bCs/>
          <w:sz w:val="21"/>
          <w:szCs w:val="21"/>
        </w:rPr>
        <w:t xml:space="preserve">16.3.  </w:t>
      </w:r>
      <w:r>
        <w:rPr>
          <w:sz w:val="21"/>
          <w:szCs w:val="21"/>
        </w:rPr>
        <w:t xml:space="preserve">Трябва да спазвате всички приложими закони и разпоредби, включително относно здраве и безопасност, данъци, защита на данните, стандарти за храни и продукти, етикетиране, продажба на алкохол и хигиена.</w:t>
      </w:r>
    </w:p>
    <w:p>
      <w:pPr>
        <w:pStyle w:val="Heading2"/>
        <w:spacing w:after="100" w:before="220"/>
      </w:pPr>
      <w:r>
        <w:rPr>
          <w:b/>
          <w:bCs/>
          <w:sz w:val="24"/>
          <w:szCs w:val="24"/>
        </w:rPr>
        <w:t xml:space="preserve">17. Записи</w:t>
      </w:r>
    </w:p>
    <w:p>
      <w:pPr>
        <w:spacing w:after="120"/>
      </w:pPr>
      <w:r>
        <w:rPr>
          <w:sz w:val="21"/>
          <w:szCs w:val="21"/>
        </w:rPr>
        <w:t xml:space="preserve">Всяка страна трябва да събира, поддържа и съхранява точни записи, свързани с правилното изпълнение на задълженията си по Договора и/или изискваните от закона.</w:t>
      </w:r>
    </w:p>
    <w:p>
      <w:pPr>
        <w:pStyle w:val="Heading2"/>
        <w:spacing w:after="100" w:before="220"/>
      </w:pPr>
      <w:r>
        <w:rPr>
          <w:b/>
          <w:bCs/>
          <w:sz w:val="24"/>
          <w:szCs w:val="24"/>
        </w:rPr>
        <w:t xml:space="preserve">18. Прехвърляне и възлагане на подизпълнители</w:t>
      </w:r>
    </w:p>
    <w:p>
      <w:pPr>
        <w:spacing w:after="120"/>
      </w:pPr>
      <w:r>
        <w:rPr>
          <w:sz w:val="21"/>
          <w:szCs w:val="21"/>
        </w:rPr>
        <w:t xml:space="preserve">Освен на Свързано лице, нито вие, нито ние имаме право да прехвърляме или възлагаме на подизпълнители правата или задълженията си по Договора без предварително писмено съгласие на другата страна.</w:t>
      </w:r>
    </w:p>
    <w:p>
      <w:pPr>
        <w:pStyle w:val="Heading2"/>
        <w:spacing w:after="100" w:before="220"/>
      </w:pPr>
      <w:r>
        <w:rPr>
          <w:b/>
          <w:bCs/>
          <w:sz w:val="24"/>
          <w:szCs w:val="24"/>
        </w:rPr>
        <w:t xml:space="preserve">19. Форсмажор</w:t>
      </w:r>
    </w:p>
    <w:p>
      <w:pPr>
        <w:spacing w:after="120"/>
      </w:pPr>
      <w:r>
        <w:rPr>
          <w:sz w:val="21"/>
          <w:szCs w:val="21"/>
        </w:rPr>
        <w:t xml:space="preserve">Нито вие, нито ние носим отговорност за забавяне или неизпълнение на задълженията, произтичащо от Форсмажорно събитие.</w:t>
      </w:r>
    </w:p>
    <w:p>
      <w:pPr>
        <w:pStyle w:val="Heading2"/>
        <w:spacing w:after="100" w:before="220"/>
      </w:pPr>
      <w:r>
        <w:rPr>
          <w:b/>
          <w:bCs/>
          <w:sz w:val="24"/>
          <w:szCs w:val="24"/>
        </w:rPr>
        <w:t xml:space="preserve">20. Отказ, изменение и права на трети страни</w:t>
      </w:r>
    </w:p>
    <w:p>
      <w:pPr>
        <w:spacing w:after="120"/>
      </w:pPr>
      <w:r>
        <w:rPr>
          <w:sz w:val="21"/>
          <w:szCs w:val="21"/>
        </w:rPr>
        <w:t xml:space="preserve">Неупражняването или забавянето при упражняване на право не представлява отказ от него.</w:t>
      </w:r>
    </w:p>
    <w:p>
      <w:pPr>
        <w:pStyle w:val="Heading2"/>
        <w:spacing w:after="100" w:before="220"/>
      </w:pPr>
      <w:r>
        <w:rPr>
          <w:b/>
          <w:bCs/>
          <w:sz w:val="24"/>
          <w:szCs w:val="24"/>
        </w:rPr>
        <w:t xml:space="preserve">21. Изменения на този Договор</w:t>
      </w:r>
    </w:p>
    <w:p>
      <w:pPr>
        <w:spacing w:after="100"/>
        <w:ind w:left="360" w:hanging="360"/>
      </w:pPr>
      <w:r>
        <w:rPr>
          <w:b/>
          <w:bCs/>
          <w:sz w:val="21"/>
          <w:szCs w:val="21"/>
        </w:rPr>
        <w:t xml:space="preserve">21.1.  </w:t>
      </w:r>
      <w:r>
        <w:rPr>
          <w:sz w:val="21"/>
          <w:szCs w:val="21"/>
        </w:rPr>
        <w:t xml:space="preserve">Можем да изменяме този Договор периодично. Ще ви уведомим по имейл или чрез съобщение в Партньорския портал. Измененията влизат в сила не по-рано от 15 (петнадесет) дни от уведомлението, освен в ограничените случаи по Клауза 21.3.</w:t>
      </w:r>
    </w:p>
    <w:p>
      <w:pPr>
        <w:spacing w:after="100"/>
        <w:ind w:left="360" w:hanging="360"/>
      </w:pPr>
      <w:r>
        <w:rPr>
          <w:b/>
          <w:bCs/>
          <w:sz w:val="21"/>
          <w:szCs w:val="21"/>
        </w:rPr>
        <w:t xml:space="preserve">21.2.  </w:t>
      </w:r>
      <w:r>
        <w:rPr>
          <w:sz w:val="21"/>
          <w:szCs w:val="21"/>
        </w:rPr>
        <w:t xml:space="preserve">При уведомление за изменение имате право да прекратите Договора преди изтичане на срока на предизвестието. Ако не се свържете с нас до края на срока, се счита, че сте се съгласили с измененията.</w:t>
      </w:r>
    </w:p>
    <w:p>
      <w:pPr>
        <w:pStyle w:val="Heading2"/>
        <w:spacing w:after="100" w:before="220"/>
      </w:pPr>
      <w:r>
        <w:rPr>
          <w:b/>
          <w:bCs/>
          <w:sz w:val="24"/>
          <w:szCs w:val="24"/>
        </w:rPr>
        <w:t xml:space="preserve">22. Цялостно споразумение</w:t>
      </w:r>
    </w:p>
    <w:p>
      <w:pPr>
        <w:spacing w:after="120"/>
      </w:pPr>
      <w:r>
        <w:rPr>
          <w:sz w:val="21"/>
          <w:szCs w:val="21"/>
        </w:rPr>
        <w:t xml:space="preserve">Този Договор представлява цялото споразумение между страните и замества всички предходни споразумения, отнасящи се до предмета му.</w:t>
      </w:r>
    </w:p>
    <w:p>
      <w:pPr>
        <w:pStyle w:val="Heading2"/>
        <w:spacing w:after="100" w:before="220"/>
      </w:pPr>
      <w:r>
        <w:rPr>
          <w:b/>
          <w:bCs/>
          <w:sz w:val="24"/>
          <w:szCs w:val="24"/>
        </w:rPr>
        <w:t xml:space="preserve">23. Уведомления</w:t>
      </w:r>
    </w:p>
    <w:p>
      <w:pPr>
        <w:spacing w:after="120"/>
      </w:pPr>
      <w:r>
        <w:rPr>
          <w:sz w:val="21"/>
          <w:szCs w:val="21"/>
        </w:rPr>
        <w:t xml:space="preserve">Всички уведомления по този Договор трябва да бъдат в писмена форма. Уведомление, получено след 17:00 ч. местно време, се счита за получено на следващия Работен ден.</w:t>
      </w:r>
    </w:p>
    <w:p>
      <w:pPr>
        <w:pStyle w:val="Heading2"/>
        <w:spacing w:after="100" w:before="220"/>
      </w:pPr>
      <w:r>
        <w:rPr>
          <w:b/>
          <w:bCs/>
          <w:sz w:val="24"/>
          <w:szCs w:val="24"/>
        </w:rPr>
        <w:t xml:space="preserve">24. Общи разпоредби</w:t>
      </w:r>
    </w:p>
    <w:p>
      <w:pPr>
        <w:spacing w:after="120"/>
      </w:pPr>
      <w:r>
        <w:rPr>
          <w:sz w:val="21"/>
          <w:szCs w:val="21"/>
        </w:rPr>
        <w:t xml:space="preserve">Ако някое условие бъде обявено за недействително или неприложимо, останалата част от Договора остава в пълна сила, а недействителното условие се тълкува в минималната степен, необходима за неговата валидност.</w:t>
      </w:r>
    </w:p>
    <w:p>
      <w:pPr>
        <w:pStyle w:val="Heading2"/>
        <w:spacing w:after="100" w:before="220"/>
      </w:pPr>
      <w:r>
        <w:rPr>
          <w:b/>
          <w:bCs/>
          <w:sz w:val="24"/>
          <w:szCs w:val="24"/>
        </w:rPr>
        <w:t xml:space="preserve">25. Изпълнение</w:t>
      </w:r>
    </w:p>
    <w:p>
      <w:pPr>
        <w:spacing w:after="120"/>
      </w:pPr>
      <w:r>
        <w:rPr>
          <w:sz w:val="21"/>
          <w:szCs w:val="21"/>
        </w:rPr>
        <w:t xml:space="preserve">Този Договор може да бъде подписан електронно. Използването на електронен подпис има същата правна сила, валидност и приложимост като подпис, положен на ръка.</w:t>
      </w:r>
    </w:p>
    <w:p>
      <w:pPr>
        <w:pStyle w:val="Heading2"/>
        <w:spacing w:after="100" w:before="220"/>
      </w:pPr>
      <w:r>
        <w:rPr>
          <w:b/>
          <w:bCs/>
          <w:sz w:val="24"/>
          <w:szCs w:val="24"/>
        </w:rPr>
        <w:t xml:space="preserve">26. Разглеждане на жалби</w:t>
      </w:r>
    </w:p>
    <w:p>
      <w:pPr>
        <w:spacing w:after="100"/>
        <w:ind w:left="360" w:hanging="360"/>
      </w:pPr>
      <w:r>
        <w:rPr>
          <w:b/>
          <w:bCs/>
          <w:sz w:val="21"/>
          <w:szCs w:val="21"/>
        </w:rPr>
        <w:t xml:space="preserve">26.1.  </w:t>
      </w:r>
      <w:r>
        <w:rPr>
          <w:sz w:val="21"/>
          <w:szCs w:val="21"/>
        </w:rPr>
        <w:t xml:space="preserve">Поддържаме система за разглеждане на жалби, която можете да използвате безплатно. Ще разглеждаме всички жалби прозрачно, равнопоставено и пропорционално.</w:t>
      </w:r>
    </w:p>
    <w:p>
      <w:pPr>
        <w:spacing w:after="100"/>
        <w:ind w:left="360" w:hanging="360"/>
      </w:pPr>
      <w:r>
        <w:rPr>
          <w:b/>
          <w:bCs/>
          <w:sz w:val="21"/>
          <w:szCs w:val="21"/>
        </w:rPr>
        <w:t xml:space="preserve">26.2.  </w:t>
      </w:r>
      <w:r>
        <w:rPr>
          <w:sz w:val="21"/>
          <w:szCs w:val="21"/>
        </w:rPr>
        <w:t xml:space="preserve">Можете да подадете жалба чрез Партньорския портал, имейл или телефон.</w:t>
      </w:r>
    </w:p>
    <w:p>
      <w:pPr>
        <w:pStyle w:val="Heading2"/>
        <w:spacing w:after="100" w:before="220"/>
      </w:pPr>
      <w:r>
        <w:rPr>
          <w:b/>
          <w:bCs/>
          <w:sz w:val="24"/>
          <w:szCs w:val="24"/>
        </w:rPr>
        <w:t xml:space="preserve">27. Медиация, приложимо право и юрисдикция</w:t>
      </w:r>
    </w:p>
    <w:p>
      <w:pPr>
        <w:spacing w:after="100"/>
        <w:ind w:left="360" w:hanging="360"/>
      </w:pPr>
      <w:r>
        <w:rPr>
          <w:b/>
          <w:bCs/>
          <w:sz w:val="21"/>
          <w:szCs w:val="21"/>
        </w:rPr>
        <w:t xml:space="preserve">27.3.  </w:t>
      </w:r>
      <w:r>
        <w:rPr>
          <w:sz w:val="21"/>
          <w:szCs w:val="21"/>
        </w:rPr>
        <w:t xml:space="preserve">Този Договор и всеки спор, произтичащ от него, се уреждат съгласно българското право.</w:t>
      </w:r>
    </w:p>
    <w:p>
      <w:pPr>
        <w:spacing w:after="100"/>
        <w:ind w:left="360" w:hanging="360"/>
      </w:pPr>
      <w:r>
        <w:rPr>
          <w:b/>
          <w:bCs/>
          <w:sz w:val="21"/>
          <w:szCs w:val="21"/>
        </w:rPr>
        <w:t xml:space="preserve">27.4.  </w:t>
      </w:r>
      <w:r>
        <w:rPr>
          <w:sz w:val="21"/>
          <w:szCs w:val="21"/>
        </w:rPr>
        <w:t xml:space="preserve">Компетентните съдилища в Република България имат изключителна юрисдикция за уреждане на всеки спор, произтичащ от този Договор.</w:t>
      </w:r>
    </w:p>
    <w:p>
      <w:pPr>
        <w:pStyle w:val="Heading1"/>
        <w:spacing w:after="160" w:before="320"/>
      </w:pPr>
      <w:r>
        <w:rPr>
          <w:b/>
          <w:bCs/>
          <w:sz w:val="30"/>
          <w:szCs w:val="30"/>
        </w:rPr>
        <w:t xml:space="preserve">РАЗДЕЛ В. ДОПЪЛНИТЕЛНИ УСЛОВИЯ — ПЛАТЕЖНИ УСЛУГИ</w:t>
      </w:r>
    </w:p>
    <w:p>
      <w:pPr>
        <w:pStyle w:val="Heading2"/>
        <w:spacing w:after="100" w:before="220"/>
      </w:pPr>
      <w:r>
        <w:rPr>
          <w:b/>
          <w:bCs/>
          <w:sz w:val="24"/>
          <w:szCs w:val="24"/>
        </w:rPr>
        <w:t xml:space="preserve">1. Приложение</w:t>
      </w:r>
    </w:p>
    <w:p>
      <w:pPr>
        <w:spacing w:after="100"/>
        <w:ind w:left="360" w:hanging="360"/>
      </w:pPr>
      <w:r>
        <w:rPr>
          <w:b/>
          <w:bCs/>
          <w:sz w:val="21"/>
          <w:szCs w:val="21"/>
        </w:rPr>
        <w:t xml:space="preserve">1.1  </w:t>
      </w:r>
      <w:r>
        <w:rPr>
          <w:sz w:val="21"/>
          <w:szCs w:val="21"/>
        </w:rPr>
        <w:t xml:space="preserve">Тези Платежни условия се прилагат за Платежните услуги, предоставяни на Платежния партньор. FoodGo и неговият доставчик на платежни услуги никога не са страна по договорите, сключени чрез Платформата от името на Платежния партньор.</w:t>
      </w:r>
    </w:p>
    <w:p>
      <w:pPr>
        <w:spacing w:after="100"/>
        <w:ind w:left="360" w:hanging="360"/>
      </w:pPr>
      <w:r>
        <w:rPr>
          <w:b/>
          <w:bCs/>
          <w:sz w:val="21"/>
          <w:szCs w:val="21"/>
        </w:rPr>
        <w:t xml:space="preserve">1.3  </w:t>
      </w:r>
      <w:r>
        <w:rPr>
          <w:sz w:val="21"/>
          <w:szCs w:val="21"/>
        </w:rPr>
        <w:t xml:space="preserve">Платежният партньор няма да разкрива лични данни на Клиенти на трети страни.</w:t>
      </w:r>
    </w:p>
    <w:p>
      <w:pPr>
        <w:pStyle w:val="Heading2"/>
        <w:spacing w:after="100" w:before="220"/>
      </w:pPr>
      <w:r>
        <w:rPr>
          <w:b/>
          <w:bCs/>
          <w:sz w:val="24"/>
          <w:szCs w:val="24"/>
        </w:rPr>
        <w:t xml:space="preserve">2. Регистрация на Платежния партньор</w:t>
      </w:r>
    </w:p>
    <w:p>
      <w:pPr>
        <w:spacing w:after="100"/>
        <w:ind w:left="360" w:hanging="360"/>
      </w:pPr>
      <w:r>
        <w:rPr>
          <w:b/>
          <w:bCs/>
          <w:sz w:val="21"/>
          <w:szCs w:val="21"/>
        </w:rPr>
        <w:t xml:space="preserve">2.1  </w:t>
      </w:r>
      <w:r>
        <w:rPr>
          <w:sz w:val="21"/>
          <w:szCs w:val="21"/>
        </w:rPr>
        <w:t xml:space="preserve">Платежният партньор се регистрира чрез подаване на попълнената регистрационна форма преди предоставянето на Платежните услуги.</w:t>
      </w:r>
    </w:p>
    <w:p>
      <w:pPr>
        <w:spacing w:after="100"/>
        <w:ind w:left="360" w:hanging="360"/>
      </w:pPr>
      <w:r>
        <w:rPr>
          <w:b/>
          <w:bCs/>
          <w:sz w:val="21"/>
          <w:szCs w:val="21"/>
        </w:rPr>
        <w:t xml:space="preserve">2.3  </w:t>
      </w:r>
      <w:r>
        <w:rPr>
          <w:sz w:val="21"/>
          <w:szCs w:val="21"/>
        </w:rPr>
        <w:t xml:space="preserve">Платежният партньор се задължава да предостави всяка информация, необходима за идентификация и проверка на партньора и на действителния собственик.</w:t>
      </w:r>
    </w:p>
    <w:p>
      <w:pPr>
        <w:pStyle w:val="Heading2"/>
        <w:spacing w:after="100" w:before="220"/>
      </w:pPr>
      <w:r>
        <w:rPr>
          <w:b/>
          <w:bCs/>
          <w:sz w:val="24"/>
          <w:szCs w:val="24"/>
        </w:rPr>
        <w:t xml:space="preserve">3. Обезщетения</w:t>
      </w:r>
    </w:p>
    <w:p>
      <w:pPr>
        <w:spacing w:after="100"/>
        <w:ind w:left="360" w:hanging="360"/>
      </w:pPr>
      <w:r>
        <w:rPr>
          <w:b/>
          <w:bCs/>
          <w:sz w:val="21"/>
          <w:szCs w:val="21"/>
        </w:rPr>
        <w:t xml:space="preserve">3.1  </w:t>
      </w:r>
      <w:r>
        <w:rPr>
          <w:sz w:val="21"/>
          <w:szCs w:val="21"/>
        </w:rPr>
        <w:t xml:space="preserve">Платежният партньор обезщетява доставчика на Платежни услуги за искове на Клиенти, свързани с поведението на партньора, неговите служители или с изпълнението на Поръчки.</w:t>
      </w:r>
    </w:p>
    <w:p>
      <w:pPr>
        <w:pStyle w:val="Heading2"/>
        <w:spacing w:after="100" w:before="220"/>
      </w:pPr>
      <w:r>
        <w:rPr>
          <w:b/>
          <w:bCs/>
          <w:sz w:val="24"/>
          <w:szCs w:val="24"/>
        </w:rPr>
        <w:t xml:space="preserve">4. Срок и прекратяване на Платежните услуги</w:t>
      </w:r>
    </w:p>
    <w:p>
      <w:pPr>
        <w:spacing w:after="100"/>
        <w:ind w:left="360" w:hanging="360"/>
      </w:pPr>
      <w:r>
        <w:rPr>
          <w:b/>
          <w:bCs/>
          <w:sz w:val="21"/>
          <w:szCs w:val="21"/>
        </w:rPr>
        <w:t xml:space="preserve">4.1  </w:t>
      </w:r>
      <w:r>
        <w:rPr>
          <w:sz w:val="21"/>
          <w:szCs w:val="21"/>
        </w:rPr>
        <w:t xml:space="preserve">Платежните услуги се предоставят за неопределен срок от датата на потвърждаване на регистрацията и KYC информацията.</w:t>
      </w:r>
    </w:p>
    <w:p>
      <w:pPr>
        <w:spacing w:after="100"/>
        <w:ind w:left="360" w:hanging="360"/>
      </w:pPr>
      <w:r>
        <w:rPr>
          <w:b/>
          <w:bCs/>
          <w:sz w:val="21"/>
          <w:szCs w:val="21"/>
        </w:rPr>
        <w:t xml:space="preserve">4.3  </w:t>
      </w:r>
      <w:r>
        <w:rPr>
          <w:sz w:val="21"/>
          <w:szCs w:val="21"/>
        </w:rPr>
        <w:t xml:space="preserve">Платежните услуги могат да бъдат спрени и средствата замразени, ако Платежният партньор наруши тези условия или е включен в Санкционен списък.</w:t>
      </w:r>
    </w:p>
    <w:p>
      <w:pPr>
        <w:pStyle w:val="Heading2"/>
        <w:spacing w:after="100" w:before="220"/>
      </w:pPr>
      <w:r>
        <w:rPr>
          <w:b/>
          <w:bCs/>
          <w:sz w:val="24"/>
          <w:szCs w:val="24"/>
        </w:rPr>
        <w:t xml:space="preserve">5. Изпълнение на Платежните услуги</w:t>
      </w:r>
    </w:p>
    <w:p>
      <w:pPr>
        <w:spacing w:after="100"/>
        <w:ind w:left="360" w:hanging="360"/>
      </w:pPr>
      <w:r>
        <w:rPr>
          <w:b/>
          <w:bCs/>
          <w:sz w:val="21"/>
          <w:szCs w:val="21"/>
        </w:rPr>
        <w:t xml:space="preserve">5.1  </w:t>
      </w:r>
      <w:r>
        <w:rPr>
          <w:sz w:val="21"/>
          <w:szCs w:val="21"/>
        </w:rPr>
        <w:t xml:space="preserve">Платежните услуги се обработват чрез лицензиран доставчик на платежни услуги (напр. Stripe). Получените средства се държат отделно от активите на FoodGo.</w:t>
      </w:r>
    </w:p>
    <w:p>
      <w:pPr>
        <w:spacing w:after="100"/>
        <w:ind w:left="360" w:hanging="360"/>
      </w:pPr>
      <w:r>
        <w:rPr>
          <w:b/>
          <w:bCs/>
          <w:sz w:val="21"/>
          <w:szCs w:val="21"/>
        </w:rPr>
        <w:t xml:space="preserve">5.2  </w:t>
      </w:r>
      <w:r>
        <w:rPr>
          <w:sz w:val="21"/>
          <w:szCs w:val="21"/>
        </w:rPr>
        <w:t xml:space="preserve">Ще осигурим уреждане на всички плащания към Клиенти (възстановявания), към вас и към FoodGo, свързани с получените от Клиенти суми.</w:t>
      </w:r>
    </w:p>
    <w:p>
      <w:pPr>
        <w:spacing w:after="100"/>
        <w:ind w:left="360" w:hanging="360"/>
      </w:pPr>
      <w:r>
        <w:rPr>
          <w:b/>
          <w:bCs/>
          <w:sz w:val="21"/>
          <w:szCs w:val="21"/>
        </w:rPr>
        <w:t xml:space="preserve">5.3  </w:t>
      </w:r>
      <w:r>
        <w:rPr>
          <w:sz w:val="21"/>
          <w:szCs w:val="21"/>
        </w:rPr>
        <w:t xml:space="preserve">Ще предоставяме преглед на салда и транзакции и ще осигуряваме превод на положителното салдо към вас на седмична база, не по-късно от десет (10) работни дни от Извлечението.</w:t>
      </w:r>
    </w:p>
    <w:p>
      <w:pPr>
        <w:spacing w:after="100"/>
        <w:ind w:left="360" w:hanging="360"/>
      </w:pPr>
      <w:r>
        <w:rPr>
          <w:b/>
          <w:bCs/>
          <w:sz w:val="21"/>
          <w:szCs w:val="21"/>
        </w:rPr>
        <w:t xml:space="preserve">5.4  </w:t>
      </w:r>
      <w:r>
        <w:rPr>
          <w:sz w:val="21"/>
          <w:szCs w:val="21"/>
        </w:rPr>
        <w:t xml:space="preserve">Приемате, че искове на Клиенти за възстановяване имат по-висок ранг от задълженията за плащане към Платежен партньор.</w:t>
      </w:r>
    </w:p>
    <w:p>
      <w:pPr>
        <w:pStyle w:val="Heading2"/>
        <w:spacing w:after="100" w:before="220"/>
      </w:pPr>
      <w:r>
        <w:rPr>
          <w:b/>
          <w:bCs/>
          <w:sz w:val="24"/>
          <w:szCs w:val="24"/>
        </w:rPr>
        <w:t xml:space="preserve">6. Отговорност</w:t>
      </w:r>
    </w:p>
    <w:p>
      <w:pPr>
        <w:spacing w:after="100"/>
        <w:ind w:left="360" w:hanging="360"/>
      </w:pPr>
      <w:r>
        <w:rPr>
          <w:b/>
          <w:bCs/>
          <w:sz w:val="21"/>
          <w:szCs w:val="21"/>
        </w:rPr>
        <w:t xml:space="preserve">6.1  </w:t>
      </w:r>
      <w:r>
        <w:rPr>
          <w:sz w:val="21"/>
          <w:szCs w:val="21"/>
        </w:rPr>
        <w:t xml:space="preserve">Доставчикът на Платежни услуги не носи отговорност освен за вреди, пряко произтичащи от умисъл или груба небрежност. Отговорността е ограничена до сумата по застраховката или до 10 000 EUR.</w:t>
      </w:r>
    </w:p>
    <w:p>
      <w:pPr>
        <w:pStyle w:val="Heading1"/>
        <w:spacing w:after="160" w:before="320"/>
      </w:pPr>
      <w:r>
        <w:rPr>
          <w:b/>
          <w:bCs/>
          <w:sz w:val="30"/>
          <w:szCs w:val="30"/>
        </w:rPr>
        <w:t xml:space="preserve">РАЗДЕЛ Г. ДОПЪЛНИТЕЛНИ УСЛОВИЯ — УСЛУГИ ЗА ДОСТАВКА</w:t>
      </w:r>
    </w:p>
    <w:p>
      <w:pPr>
        <w:pStyle w:val="Heading2"/>
        <w:spacing w:after="100" w:before="220"/>
      </w:pPr>
      <w:r>
        <w:rPr>
          <w:b/>
          <w:bCs/>
          <w:sz w:val="24"/>
          <w:szCs w:val="24"/>
        </w:rPr>
        <w:t xml:space="preserve">1. Приложение</w:t>
      </w:r>
    </w:p>
    <w:p>
      <w:pPr>
        <w:spacing w:after="120"/>
      </w:pPr>
      <w:r>
        <w:rPr>
          <w:sz w:val="21"/>
          <w:szCs w:val="21"/>
        </w:rPr>
        <w:t xml:space="preserve">Този Раздел Г се прилага, когато сме се съгласили да осигурим Услуги за доставка за вас.</w:t>
      </w:r>
    </w:p>
    <w:p>
      <w:pPr>
        <w:pStyle w:val="Heading2"/>
        <w:spacing w:after="100" w:before="220"/>
      </w:pPr>
      <w:r>
        <w:rPr>
          <w:b/>
          <w:bCs/>
          <w:sz w:val="24"/>
          <w:szCs w:val="24"/>
        </w:rPr>
        <w:t xml:space="preserve">2. Права и задължения на FoodGo</w:t>
      </w:r>
    </w:p>
    <w:p>
      <w:pPr>
        <w:spacing w:after="100"/>
        <w:ind w:left="360" w:hanging="360"/>
      </w:pPr>
      <w:r>
        <w:rPr>
          <w:b/>
          <w:bCs/>
          <w:sz w:val="21"/>
          <w:szCs w:val="21"/>
        </w:rPr>
        <w:t xml:space="preserve">2.1.  </w:t>
      </w:r>
      <w:r>
        <w:rPr>
          <w:sz w:val="21"/>
          <w:szCs w:val="21"/>
        </w:rPr>
        <w:t xml:space="preserve">Ще положим търговски разумни усилия за доставка на Поръчката до Клиента.</w:t>
      </w:r>
    </w:p>
    <w:p>
      <w:pPr>
        <w:spacing w:after="100"/>
        <w:ind w:left="360" w:hanging="360"/>
      </w:pPr>
      <w:r>
        <w:rPr>
          <w:b/>
          <w:bCs/>
          <w:sz w:val="21"/>
          <w:szCs w:val="21"/>
        </w:rPr>
        <w:t xml:space="preserve">2.2.  </w:t>
      </w:r>
      <w:r>
        <w:rPr>
          <w:sz w:val="21"/>
          <w:szCs w:val="21"/>
        </w:rPr>
        <w:t xml:space="preserve">Можем да начисляваме на всеки Клиент такса за доставка на база Поръчка.</w:t>
      </w:r>
    </w:p>
    <w:p>
      <w:pPr>
        <w:spacing w:after="100"/>
        <w:ind w:left="360" w:hanging="360"/>
      </w:pPr>
      <w:r>
        <w:rPr>
          <w:b/>
          <w:bCs/>
          <w:sz w:val="21"/>
          <w:szCs w:val="21"/>
        </w:rPr>
        <w:t xml:space="preserve">2.4.  </w:t>
      </w:r>
      <w:r>
        <w:rPr>
          <w:sz w:val="21"/>
          <w:szCs w:val="21"/>
        </w:rPr>
        <w:t xml:space="preserve">Можем да определяме максималното разстояние между Обект и Клиент за конкретна Поръчка въз основа на радиус и полигон.</w:t>
      </w:r>
    </w:p>
    <w:p>
      <w:pPr>
        <w:spacing w:after="100"/>
        <w:ind w:left="360" w:hanging="360"/>
      </w:pPr>
      <w:r>
        <w:rPr>
          <w:b/>
          <w:bCs/>
          <w:sz w:val="21"/>
          <w:szCs w:val="21"/>
        </w:rPr>
        <w:t xml:space="preserve">2.6.  </w:t>
      </w:r>
      <w:r>
        <w:rPr>
          <w:sz w:val="21"/>
          <w:szCs w:val="21"/>
        </w:rPr>
        <w:t xml:space="preserve">Запазваме правото да определим минимална стойност на Поръчката, преди да бъде обработена чрез Услугите за доставка.</w:t>
      </w:r>
    </w:p>
    <w:p>
      <w:pPr>
        <w:spacing w:after="100"/>
        <w:ind w:left="360" w:hanging="360"/>
      </w:pPr>
      <w:r>
        <w:rPr>
          <w:b/>
          <w:bCs/>
          <w:sz w:val="21"/>
          <w:szCs w:val="21"/>
        </w:rPr>
        <w:t xml:space="preserve">2.9.  </w:t>
      </w:r>
      <w:r>
        <w:rPr>
          <w:sz w:val="21"/>
          <w:szCs w:val="21"/>
        </w:rPr>
        <w:t xml:space="preserve">Можем да спрем или преустановим Услугите за доставка съгласно Клауза 14.1 от Общите условия, ако не спазвате разумни правила относно Поръчките, или при Форсмажор.</w:t>
      </w:r>
    </w:p>
    <w:p>
      <w:pPr>
        <w:pStyle w:val="Heading2"/>
        <w:spacing w:after="100" w:before="220"/>
      </w:pPr>
      <w:r>
        <w:rPr>
          <w:b/>
          <w:bCs/>
          <w:sz w:val="24"/>
          <w:szCs w:val="24"/>
        </w:rPr>
        <w:t xml:space="preserve">3. Вашите задължения</w:t>
      </w:r>
    </w:p>
    <w:p>
      <w:pPr>
        <w:spacing w:after="100"/>
        <w:ind w:left="360" w:hanging="360"/>
      </w:pPr>
      <w:r>
        <w:rPr>
          <w:b/>
          <w:bCs/>
          <w:sz w:val="21"/>
          <w:szCs w:val="21"/>
        </w:rPr>
        <w:t xml:space="preserve">3.1.  </w:t>
      </w:r>
      <w:r>
        <w:rPr>
          <w:sz w:val="21"/>
          <w:szCs w:val="21"/>
        </w:rPr>
        <w:t xml:space="preserve">Да изберете Време за приготвяне за всяка Поръчка и да я потвърдите; след потвърждение то не може да се променя.</w:t>
      </w:r>
    </w:p>
    <w:p>
      <w:pPr>
        <w:spacing w:after="100"/>
        <w:ind w:left="360" w:hanging="360"/>
      </w:pPr>
      <w:r>
        <w:rPr>
          <w:b/>
          <w:bCs/>
          <w:sz w:val="21"/>
          <w:szCs w:val="21"/>
        </w:rPr>
        <w:t xml:space="preserve">3.2.  </w:t>
      </w:r>
      <w:r>
        <w:rPr>
          <w:sz w:val="21"/>
          <w:szCs w:val="21"/>
        </w:rPr>
        <w:t xml:space="preserve">Да приготвите Стоките, така че да са готови за вземане в Времето за вземане.</w:t>
      </w:r>
    </w:p>
    <w:p>
      <w:pPr>
        <w:spacing w:after="100"/>
        <w:ind w:left="360" w:hanging="360"/>
      </w:pPr>
      <w:r>
        <w:rPr>
          <w:b/>
          <w:bCs/>
          <w:sz w:val="21"/>
          <w:szCs w:val="21"/>
        </w:rPr>
        <w:t xml:space="preserve">3.3.  </w:t>
      </w:r>
      <w:r>
        <w:rPr>
          <w:sz w:val="21"/>
          <w:szCs w:val="21"/>
        </w:rPr>
        <w:t xml:space="preserve">Да не превишавате максималното Време за изчакване на Куриера от 3 минути.</w:t>
      </w:r>
    </w:p>
    <w:p>
      <w:pPr>
        <w:spacing w:after="100"/>
        <w:ind w:left="360" w:hanging="360"/>
      </w:pPr>
      <w:r>
        <w:rPr>
          <w:b/>
          <w:bCs/>
          <w:sz w:val="21"/>
          <w:szCs w:val="21"/>
        </w:rPr>
        <w:t xml:space="preserve">3.4.  </w:t>
      </w:r>
      <w:r>
        <w:rPr>
          <w:sz w:val="21"/>
          <w:szCs w:val="21"/>
        </w:rPr>
        <w:t xml:space="preserve">Да използвате опаковка, подходяща за доставка (предотвратяваща кръстосано замърсяване и поддържаща безопасна температура).</w:t>
      </w:r>
    </w:p>
    <w:p>
      <w:pPr>
        <w:spacing w:after="100"/>
        <w:ind w:left="360" w:hanging="360"/>
      </w:pPr>
      <w:r>
        <w:rPr>
          <w:b/>
          <w:bCs/>
          <w:sz w:val="21"/>
          <w:szCs w:val="21"/>
        </w:rPr>
        <w:t xml:space="preserve">3.5.  </w:t>
      </w:r>
      <w:r>
        <w:rPr>
          <w:sz w:val="21"/>
          <w:szCs w:val="21"/>
        </w:rPr>
        <w:t xml:space="preserve">Да проверявате всяка Поръчка за точност и пълнота.</w:t>
      </w:r>
    </w:p>
    <w:p>
      <w:pPr>
        <w:pStyle w:val="Heading2"/>
        <w:spacing w:after="100" w:before="220"/>
      </w:pPr>
      <w:r>
        <w:rPr>
          <w:b/>
          <w:bCs/>
          <w:sz w:val="24"/>
          <w:szCs w:val="24"/>
        </w:rPr>
        <w:t xml:space="preserve">4. Такси и фактуриране</w:t>
      </w:r>
    </w:p>
    <w:p>
      <w:pPr>
        <w:spacing w:after="120"/>
      </w:pPr>
      <w:r>
        <w:rPr>
          <w:sz w:val="21"/>
          <w:szCs w:val="21"/>
        </w:rPr>
        <w:t xml:space="preserve">За всяка Поръчка, взета или доставена чрез Услугите за доставка, трябва да платите съответните Такси, посочени в Договора. Те се включват във всяко Извлечение.</w:t>
      </w:r>
    </w:p>
    <w:p>
      <w:pPr>
        <w:pStyle w:val="Heading1"/>
        <w:spacing w:after="160" w:before="320"/>
      </w:pPr>
      <w:r>
        <w:rPr>
          <w:b/>
          <w:bCs/>
          <w:sz w:val="30"/>
          <w:szCs w:val="30"/>
        </w:rPr>
        <w:t xml:space="preserve">РАЗДЕЛ Д. ДОПЪЛНИТЕЛНИ УСЛОВИЯ — ПЕЧАТИ ЗА ЛОЯЛНОСТ</w:t>
      </w:r>
    </w:p>
    <w:p>
      <w:pPr>
        <w:pStyle w:val="Heading2"/>
        <w:spacing w:after="100" w:before="220"/>
      </w:pPr>
      <w:r>
        <w:rPr>
          <w:b/>
          <w:bCs/>
          <w:sz w:val="24"/>
          <w:szCs w:val="24"/>
        </w:rPr>
        <w:t xml:space="preserve">1. Приложение</w:t>
      </w:r>
    </w:p>
    <w:p>
      <w:pPr>
        <w:spacing w:after="120"/>
      </w:pPr>
      <w:r>
        <w:rPr>
          <w:sz w:val="21"/>
          <w:szCs w:val="21"/>
        </w:rPr>
        <w:t xml:space="preserve">Този Раздел Д се прилага, ако сте се регистрирали за Програмата за печати.</w:t>
      </w:r>
    </w:p>
    <w:p>
      <w:pPr>
        <w:pStyle w:val="Heading2"/>
        <w:spacing w:after="100" w:before="220"/>
      </w:pPr>
      <w:r>
        <w:rPr>
          <w:b/>
          <w:bCs/>
          <w:sz w:val="24"/>
          <w:szCs w:val="24"/>
        </w:rPr>
        <w:t xml:space="preserve">2. Участие</w:t>
      </w:r>
    </w:p>
    <w:p>
      <w:pPr>
        <w:spacing w:after="100"/>
        <w:ind w:left="360" w:hanging="360"/>
      </w:pPr>
      <w:r>
        <w:rPr>
          <w:b/>
          <w:bCs/>
          <w:sz w:val="21"/>
          <w:szCs w:val="21"/>
        </w:rPr>
        <w:t xml:space="preserve">2.1  </w:t>
      </w:r>
      <w:r>
        <w:rPr>
          <w:sz w:val="21"/>
          <w:szCs w:val="21"/>
        </w:rPr>
        <w:t xml:space="preserve">За да участвате и да присъждате печати на Клиенти, трябва да се регистрирате за Програмата за печати чрез регистрационната форма или Партньорския портал.</w:t>
      </w:r>
    </w:p>
    <w:p>
      <w:pPr>
        <w:spacing w:after="100"/>
        <w:ind w:left="360" w:hanging="360"/>
      </w:pPr>
      <w:r>
        <w:rPr>
          <w:b/>
          <w:bCs/>
          <w:sz w:val="21"/>
          <w:szCs w:val="21"/>
        </w:rPr>
        <w:t xml:space="preserve">2.2  </w:t>
      </w:r>
      <w:r>
        <w:rPr>
          <w:sz w:val="21"/>
          <w:szCs w:val="21"/>
        </w:rPr>
        <w:t xml:space="preserve">Можем да откажем участие на Обект по наша преценка.</w:t>
      </w:r>
    </w:p>
    <w:p>
      <w:pPr>
        <w:pStyle w:val="Heading2"/>
        <w:spacing w:after="100" w:before="220"/>
      </w:pPr>
      <w:r>
        <w:rPr>
          <w:b/>
          <w:bCs/>
          <w:sz w:val="24"/>
          <w:szCs w:val="24"/>
        </w:rPr>
        <w:t xml:space="preserve">3. Печати</w:t>
      </w:r>
    </w:p>
    <w:p>
      <w:pPr>
        <w:spacing w:after="100"/>
        <w:ind w:left="360" w:hanging="360"/>
      </w:pPr>
      <w:r>
        <w:rPr>
          <w:b/>
          <w:bCs/>
          <w:sz w:val="21"/>
          <w:szCs w:val="21"/>
        </w:rPr>
        <w:t xml:space="preserve">3.1  </w:t>
      </w:r>
      <w:r>
        <w:rPr>
          <w:sz w:val="21"/>
          <w:szCs w:val="21"/>
        </w:rPr>
        <w:t xml:space="preserve">Печатите се присъждат единствено от вас на Клиент. Ние сме само техническият доставчик на Програмата.</w:t>
      </w:r>
    </w:p>
    <w:p>
      <w:pPr>
        <w:spacing w:after="100"/>
        <w:ind w:left="360" w:hanging="360"/>
      </w:pPr>
      <w:r>
        <w:rPr>
          <w:b/>
          <w:bCs/>
          <w:sz w:val="21"/>
          <w:szCs w:val="21"/>
        </w:rPr>
        <w:t xml:space="preserve">3.2  </w:t>
      </w:r>
      <w:r>
        <w:rPr>
          <w:sz w:val="21"/>
          <w:szCs w:val="21"/>
        </w:rPr>
        <w:t xml:space="preserve">Клиент с валиден имейл адрес автоматично получава 1 печат за Поръчка. Максимум 1 печат на ден.</w:t>
      </w:r>
    </w:p>
    <w:p>
      <w:pPr>
        <w:spacing w:after="100"/>
        <w:ind w:left="360" w:hanging="360"/>
      </w:pPr>
      <w:r>
        <w:rPr>
          <w:b/>
          <w:bCs/>
          <w:sz w:val="21"/>
          <w:szCs w:val="21"/>
        </w:rPr>
        <w:t xml:space="preserve">3.4  </w:t>
      </w:r>
      <w:r>
        <w:rPr>
          <w:sz w:val="21"/>
          <w:szCs w:val="21"/>
        </w:rPr>
        <w:t xml:space="preserve">Картата с печати е попълнена след събиране на пет печата от същия Обект. Ваучер за печати се изпраща до 48 часа след попълване.</w:t>
      </w:r>
    </w:p>
    <w:p>
      <w:pPr>
        <w:spacing w:after="100"/>
        <w:ind w:left="360" w:hanging="360"/>
      </w:pPr>
      <w:r>
        <w:rPr>
          <w:b/>
          <w:bCs/>
          <w:sz w:val="21"/>
          <w:szCs w:val="21"/>
        </w:rPr>
        <w:t xml:space="preserve">3.5  </w:t>
      </w:r>
      <w:r>
        <w:rPr>
          <w:sz w:val="21"/>
          <w:szCs w:val="21"/>
        </w:rPr>
        <w:t xml:space="preserve">Печатите изтичат 12 месеца след датата на присъждане.</w:t>
      </w:r>
    </w:p>
    <w:p>
      <w:pPr>
        <w:pStyle w:val="Heading2"/>
        <w:spacing w:after="100" w:before="220"/>
      </w:pPr>
      <w:r>
        <w:rPr>
          <w:b/>
          <w:bCs/>
          <w:sz w:val="24"/>
          <w:szCs w:val="24"/>
        </w:rPr>
        <w:t xml:space="preserve">4. Ваучери за печати</w:t>
      </w:r>
    </w:p>
    <w:p>
      <w:pPr>
        <w:spacing w:after="100"/>
        <w:ind w:left="360" w:hanging="360"/>
      </w:pPr>
      <w:r>
        <w:rPr>
          <w:b/>
          <w:bCs/>
          <w:sz w:val="21"/>
          <w:szCs w:val="21"/>
        </w:rPr>
        <w:t xml:space="preserve">4.1  </w:t>
      </w:r>
      <w:r>
        <w:rPr>
          <w:sz w:val="21"/>
          <w:szCs w:val="21"/>
        </w:rPr>
        <w:t xml:space="preserve">Ваучерът може да се използва само за Поръчка от Обекта, от който са получени печатите, само в комбинация с онлайн плащане и не може да се комбинира с други ваучери.</w:t>
      </w:r>
    </w:p>
    <w:p>
      <w:pPr>
        <w:spacing w:after="100"/>
        <w:ind w:left="360" w:hanging="360"/>
      </w:pPr>
      <w:r>
        <w:rPr>
          <w:b/>
          <w:bCs/>
          <w:sz w:val="21"/>
          <w:szCs w:val="21"/>
        </w:rPr>
        <w:t xml:space="preserve">4.2  </w:t>
      </w:r>
      <w:r>
        <w:rPr>
          <w:sz w:val="21"/>
          <w:szCs w:val="21"/>
        </w:rPr>
        <w:t xml:space="preserve">Ваучерът може да се използва до 90 дни след издаването му.</w:t>
      </w:r>
    </w:p>
    <w:p>
      <w:pPr>
        <w:spacing w:after="100"/>
        <w:ind w:left="360" w:hanging="360"/>
      </w:pPr>
      <w:r>
        <w:rPr>
          <w:b/>
          <w:bCs/>
          <w:sz w:val="21"/>
          <w:szCs w:val="21"/>
        </w:rPr>
        <w:t xml:space="preserve">4.3  </w:t>
      </w:r>
      <w:r>
        <w:rPr>
          <w:sz w:val="21"/>
          <w:szCs w:val="21"/>
        </w:rPr>
        <w:t xml:space="preserve">Стойността на Ваучера е 10% от общата сума на петте Поръчки, за които са събрани печатите.</w:t>
      </w:r>
    </w:p>
    <w:p>
      <w:pPr>
        <w:spacing w:after="100"/>
        <w:ind w:left="360" w:hanging="360"/>
      </w:pPr>
      <w:r>
        <w:rPr>
          <w:b/>
          <w:bCs/>
          <w:sz w:val="21"/>
          <w:szCs w:val="21"/>
        </w:rPr>
        <w:t xml:space="preserve">4.4  </w:t>
      </w:r>
      <w:r>
        <w:rPr>
          <w:sz w:val="21"/>
          <w:szCs w:val="21"/>
        </w:rPr>
        <w:t xml:space="preserve">Разходите за използван Ваучер за печати са за ваша сметка.</w:t>
      </w:r>
    </w:p>
    <w:p>
      <w:pPr>
        <w:pStyle w:val="Heading2"/>
        <w:spacing w:after="100" w:before="220"/>
      </w:pPr>
      <w:r>
        <w:rPr>
          <w:b/>
          <w:bCs/>
          <w:sz w:val="24"/>
          <w:szCs w:val="24"/>
        </w:rPr>
        <w:t xml:space="preserve">5. Срок, изменение и прекратяване на Програмата</w:t>
      </w:r>
    </w:p>
    <w:p>
      <w:pPr>
        <w:spacing w:after="100"/>
        <w:ind w:left="360" w:hanging="360"/>
      </w:pPr>
      <w:r>
        <w:rPr>
          <w:b/>
          <w:bCs/>
          <w:sz w:val="21"/>
          <w:szCs w:val="21"/>
        </w:rPr>
        <w:t xml:space="preserve">5.1  </w:t>
      </w:r>
      <w:r>
        <w:rPr>
          <w:sz w:val="21"/>
          <w:szCs w:val="21"/>
        </w:rPr>
        <w:t xml:space="preserve">Можете да прекратите участието си без причина с 15 (петнадесет) дни писмено предизвестие. Прекратяването не засяга валидността на съществуващите Ваучери.</w:t>
      </w:r>
    </w:p>
    <w:p>
      <w:pPr>
        <w:spacing w:after="100"/>
        <w:ind w:left="360" w:hanging="360"/>
      </w:pPr>
      <w:r>
        <w:rPr>
          <w:b/>
          <w:bCs/>
          <w:sz w:val="21"/>
          <w:szCs w:val="21"/>
        </w:rPr>
        <w:t xml:space="preserve">5.3  </w:t>
      </w:r>
      <w:r>
        <w:rPr>
          <w:sz w:val="21"/>
          <w:szCs w:val="21"/>
        </w:rPr>
        <w:t xml:space="preserve">Запазваме правото да прекратим Програмата с 30 (тридесет) дни писмено предизвестие. Издадените Ваучери остават валидни до изтичането им.</w:t>
      </w:r>
    </w:p>
    <w:p>
      <w:pPr>
        <w:pStyle w:val="Heading1"/>
        <w:spacing w:after="160" w:before="320"/>
      </w:pPr>
      <w:r>
        <w:rPr>
          <w:b/>
          <w:bCs/>
          <w:sz w:val="30"/>
          <w:szCs w:val="30"/>
        </w:rPr>
        <w:t xml:space="preserve">Приложение — Споделяне на данни с трети страни</w:t>
      </w:r>
    </w:p>
    <w:tbl>
      <w:tblPr>
        <w:tblW w:type="pct" w:w="100%"/>
        <w:tblBorders>
          <w:top w:val="single" w:color="D9D2C7" w:sz="4"/>
          <w:left w:val="single" w:color="D9D2C7" w:sz="4"/>
          <w:bottom w:val="single" w:color="D9D2C7" w:sz="4"/>
          <w:right w:val="single" w:color="D9D2C7" w:sz="4"/>
          <w:insideH w:val="single" w:color="D9D2C7" w:sz="4"/>
          <w:insideV w:val="single" w:color="D9D2C7" w:sz="4"/>
        </w:tblBorders>
      </w:tblPr>
      <w:tblGrid>
        <w:gridCol w:w="100"/>
        <w:gridCol w:w="100"/>
      </w:tblGrid>
      <w:tr>
        <w:trPr>
          <w:tblHeader/>
        </w:trPr>
        <w:tc>
          <w:tcPr>
            <w:tcW w:type="pct" w:w="50%"/>
            <w:tcMar>
              <w:top w:type="dxa" w:w="60"/>
              <w:left w:type="dxa" w:w="100"/>
              <w:bottom w:type="dxa" w:w="60"/>
              <w:right w:type="dxa" w:w="100"/>
            </w:tcMar>
          </w:tcPr>
          <w:p>
            <w:r>
              <w:rPr>
                <w:b/>
                <w:bCs/>
                <w:sz w:val="20"/>
                <w:szCs w:val="20"/>
              </w:rPr>
              <w:t xml:space="preserve">Споделяне с</w:t>
            </w:r>
          </w:p>
        </w:tc>
        <w:tc>
          <w:tcPr>
            <w:tcW w:type="pct" w:w="50%"/>
            <w:tcMar>
              <w:top w:type="dxa" w:w="60"/>
              <w:left w:type="dxa" w:w="100"/>
              <w:bottom w:type="dxa" w:w="60"/>
              <w:right w:type="dxa" w:w="100"/>
            </w:tcMar>
          </w:tcPr>
          <w:p>
            <w:r>
              <w:rPr>
                <w:b/>
                <w:bCs/>
                <w:sz w:val="20"/>
                <w:szCs w:val="20"/>
              </w:rPr>
              <w:t xml:space="preserve">Причина / цел</w:t>
            </w:r>
          </w:p>
        </w:tc>
      </w:tr>
      <w:tr>
        <w:tc>
          <w:tcPr>
            <w:tcW w:type="pct" w:w="50%"/>
            <w:tcMar>
              <w:top w:type="dxa" w:w="60"/>
              <w:left w:type="dxa" w:w="100"/>
              <w:bottom w:type="dxa" w:w="60"/>
              <w:right w:type="dxa" w:w="100"/>
            </w:tcMar>
          </w:tcPr>
          <w:p>
            <w:r>
              <w:rPr>
                <w:b w:val="false"/>
                <w:bCs w:val="false"/>
                <w:sz w:val="20"/>
                <w:szCs w:val="20"/>
              </w:rPr>
              <w:t xml:space="preserve">Свързани дружества на FoodGo</w:t>
            </w:r>
          </w:p>
        </w:tc>
        <w:tc>
          <w:tcPr>
            <w:tcW w:type="pct" w:w="50%"/>
            <w:tcMar>
              <w:top w:type="dxa" w:w="60"/>
              <w:left w:type="dxa" w:w="100"/>
              <w:bottom w:type="dxa" w:w="60"/>
              <w:right w:type="dxa" w:w="100"/>
            </w:tcMar>
          </w:tcPr>
          <w:p>
            <w:r>
              <w:rPr>
                <w:b w:val="false"/>
                <w:bCs w:val="false"/>
                <w:sz w:val="20"/>
                <w:szCs w:val="20"/>
              </w:rPr>
              <w:t xml:space="preserve">За предоставяне на Услугите и управление на бизнеса</w:t>
            </w:r>
          </w:p>
        </w:tc>
      </w:tr>
      <w:tr>
        <w:tc>
          <w:tcPr>
            <w:tcW w:type="pct" w:w="50%"/>
            <w:tcMar>
              <w:top w:type="dxa" w:w="60"/>
              <w:left w:type="dxa" w:w="100"/>
              <w:bottom w:type="dxa" w:w="60"/>
              <w:right w:type="dxa" w:w="100"/>
            </w:tcMar>
          </w:tcPr>
          <w:p>
            <w:r>
              <w:rPr>
                <w:b w:val="false"/>
                <w:bCs w:val="false"/>
                <w:sz w:val="20"/>
                <w:szCs w:val="20"/>
              </w:rPr>
              <w:t xml:space="preserve">Доставчици на софтуер и хостинг</w:t>
            </w:r>
          </w:p>
        </w:tc>
        <w:tc>
          <w:tcPr>
            <w:tcW w:type="pct" w:w="50%"/>
            <w:tcMar>
              <w:top w:type="dxa" w:w="60"/>
              <w:left w:type="dxa" w:w="100"/>
              <w:bottom w:type="dxa" w:w="60"/>
              <w:right w:type="dxa" w:w="100"/>
            </w:tcMar>
          </w:tcPr>
          <w:p>
            <w:r>
              <w:rPr>
                <w:b w:val="false"/>
                <w:bCs w:val="false"/>
                <w:sz w:val="20"/>
                <w:szCs w:val="20"/>
              </w:rPr>
              <w:t xml:space="preserve">За управление и предоставяне на Услугите</w:t>
            </w:r>
          </w:p>
        </w:tc>
      </w:tr>
      <w:tr>
        <w:tc>
          <w:tcPr>
            <w:tcW w:type="pct" w:w="50%"/>
            <w:tcMar>
              <w:top w:type="dxa" w:w="60"/>
              <w:left w:type="dxa" w:w="100"/>
              <w:bottom w:type="dxa" w:w="60"/>
              <w:right w:type="dxa" w:w="100"/>
            </w:tcMar>
          </w:tcPr>
          <w:p>
            <w:r>
              <w:rPr>
                <w:b w:val="false"/>
                <w:bCs w:val="false"/>
                <w:sz w:val="20"/>
                <w:szCs w:val="20"/>
              </w:rPr>
              <w:t xml:space="preserve">Доставчици на плащания (напр. Stripe)</w:t>
            </w:r>
          </w:p>
        </w:tc>
        <w:tc>
          <w:tcPr>
            <w:tcW w:type="pct" w:w="50%"/>
            <w:tcMar>
              <w:top w:type="dxa" w:w="60"/>
              <w:left w:type="dxa" w:w="100"/>
              <w:bottom w:type="dxa" w:w="60"/>
              <w:right w:type="dxa" w:w="100"/>
            </w:tcMar>
          </w:tcPr>
          <w:p>
            <w:r>
              <w:rPr>
                <w:b w:val="false"/>
                <w:bCs w:val="false"/>
                <w:sz w:val="20"/>
                <w:szCs w:val="20"/>
              </w:rPr>
              <w:t xml:space="preserve">За обработка на плащания и предотвратяване на измами</w:t>
            </w:r>
          </w:p>
        </w:tc>
      </w:tr>
      <w:tr>
        <w:tc>
          <w:tcPr>
            <w:tcW w:type="pct" w:w="50%"/>
            <w:tcMar>
              <w:top w:type="dxa" w:w="60"/>
              <w:left w:type="dxa" w:w="100"/>
              <w:bottom w:type="dxa" w:w="60"/>
              <w:right w:type="dxa" w:w="100"/>
            </w:tcMar>
          </w:tcPr>
          <w:p>
            <w:r>
              <w:rPr>
                <w:b w:val="false"/>
                <w:bCs w:val="false"/>
                <w:sz w:val="20"/>
                <w:szCs w:val="20"/>
              </w:rPr>
              <w:t xml:space="preserve">Доставчици на маркетинг</w:t>
            </w:r>
          </w:p>
        </w:tc>
        <w:tc>
          <w:tcPr>
            <w:tcW w:type="pct" w:w="50%"/>
            <w:tcMar>
              <w:top w:type="dxa" w:w="60"/>
              <w:left w:type="dxa" w:w="100"/>
              <w:bottom w:type="dxa" w:w="60"/>
              <w:right w:type="dxa" w:w="100"/>
            </w:tcMar>
          </w:tcPr>
          <w:p>
            <w:r>
              <w:rPr>
                <w:b w:val="false"/>
                <w:bCs w:val="false"/>
                <w:sz w:val="20"/>
                <w:szCs w:val="20"/>
              </w:rPr>
              <w:t xml:space="preserve">За промотиране на продукти и услуги</w:t>
            </w:r>
          </w:p>
        </w:tc>
      </w:tr>
      <w:tr>
        <w:tc>
          <w:tcPr>
            <w:tcW w:type="pct" w:w="50%"/>
            <w:tcMar>
              <w:top w:type="dxa" w:w="60"/>
              <w:left w:type="dxa" w:w="100"/>
              <w:bottom w:type="dxa" w:w="60"/>
              <w:right w:type="dxa" w:w="100"/>
            </w:tcMar>
          </w:tcPr>
          <w:p>
            <w:r>
              <w:rPr>
                <w:b w:val="false"/>
                <w:bCs w:val="false"/>
                <w:sz w:val="20"/>
                <w:szCs w:val="20"/>
              </w:rPr>
              <w:t xml:space="preserve">Органи на реда и регулатори</w:t>
            </w:r>
          </w:p>
        </w:tc>
        <w:tc>
          <w:tcPr>
            <w:tcW w:type="pct" w:w="50%"/>
            <w:tcMar>
              <w:top w:type="dxa" w:w="60"/>
              <w:left w:type="dxa" w:w="100"/>
              <w:bottom w:type="dxa" w:w="60"/>
              <w:right w:type="dxa" w:w="100"/>
            </w:tcMar>
          </w:tcPr>
          <w:p>
            <w:r>
              <w:rPr>
                <w:b w:val="false"/>
                <w:bCs w:val="false"/>
                <w:sz w:val="20"/>
                <w:szCs w:val="20"/>
              </w:rPr>
              <w:t xml:space="preserve">За спазване на законови задължения</w:t>
            </w:r>
          </w:p>
        </w:tc>
      </w:tr>
    </w:tbl>
    <w:p>
      <w:pPr>
        <w:spacing w:after="120"/>
      </w:pPr>
      <w:r>
        <w:rPr>
          <w:i/>
          <w:iCs/>
          <w:color w:val="6B7280"/>
          <w:sz w:val="21"/>
          <w:szCs w:val="21"/>
        </w:rPr>
        <w:t xml:space="preserve">Настоящите Общи условия са в сила от 01.11.2025 г. Английската версия няма предимство; при противоречие меродавна е българската версия.</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CA3AF"/>
        <w:sz w:val="16"/>
        <w:szCs w:val="16"/>
      </w:rPr>
      <w:t xml:space="preserve">FoodGo · 01.11.2025 · стр. </w:t>
    </w:r>
    <w:r>
      <w:rPr>
        <w:color w:val="9CA3AF"/>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 условия за партньори — FoodGo</dc:title>
  <dc:creator>FoodGo</dc:creator>
  <cp:lastModifiedBy>Un-named</cp:lastModifiedBy>
  <cp:revision>1</cp:revision>
  <dcterms:created xsi:type="dcterms:W3CDTF">2026-09-17T22:08:32.640Z</dcterms:created>
  <dcterms:modified xsi:type="dcterms:W3CDTF">2026-09-17T22:08:32.640Z</dcterms:modified>
</cp:coreProperties>
</file>

<file path=docProps/custom.xml><?xml version="1.0" encoding="utf-8"?>
<Properties xmlns="http://schemas.openxmlformats.org/officeDocument/2006/custom-properties" xmlns:vt="http://schemas.openxmlformats.org/officeDocument/2006/docPropsVTypes"/>
</file>